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4F8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540" w:lineRule="atLeast"/>
        <w:ind w:left="0" w:right="0" w:firstLine="0"/>
        <w:jc w:val="center"/>
        <w:rPr>
          <w:rFonts w:hint="eastAsia" w:ascii="方正小标宋简体" w:hAnsi="方正小标宋简体" w:eastAsia="方正小标宋简体" w:cs="方正小标宋简体"/>
          <w:b w:val="0"/>
          <w:bCs/>
          <w:i w:val="0"/>
          <w:caps w:val="0"/>
          <w:color w:val="auto"/>
          <w:spacing w:val="0"/>
          <w:w w:val="98"/>
          <w:sz w:val="44"/>
          <w:szCs w:val="44"/>
        </w:rPr>
      </w:pPr>
    </w:p>
    <w:p w14:paraId="3AB312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540" w:lineRule="atLeast"/>
        <w:ind w:left="0" w:right="0" w:firstLine="0"/>
        <w:jc w:val="center"/>
        <w:rPr>
          <w:rFonts w:hint="eastAsia" w:ascii="方正小标宋简体" w:hAnsi="方正小标宋简体" w:eastAsia="方正小标宋简体" w:cs="方正小标宋简体"/>
          <w:b w:val="0"/>
          <w:bCs/>
          <w:i w:val="0"/>
          <w:caps w:val="0"/>
          <w:color w:val="auto"/>
          <w:spacing w:val="0"/>
          <w:w w:val="98"/>
          <w:sz w:val="44"/>
          <w:szCs w:val="44"/>
        </w:rPr>
      </w:pPr>
      <w:r>
        <w:rPr>
          <w:rFonts w:hint="eastAsia" w:ascii="方正小标宋简体" w:hAnsi="方正小标宋简体" w:eastAsia="方正小标宋简体" w:cs="方正小标宋简体"/>
          <w:b w:val="0"/>
          <w:bCs/>
          <w:i w:val="0"/>
          <w:caps w:val="0"/>
          <w:color w:val="auto"/>
          <w:spacing w:val="0"/>
          <w:w w:val="98"/>
          <w:sz w:val="44"/>
          <w:szCs w:val="44"/>
        </w:rPr>
        <w:t>20</w:t>
      </w:r>
      <w:r>
        <w:rPr>
          <w:rFonts w:hint="default" w:ascii="方正小标宋简体" w:hAnsi="方正小标宋简体" w:eastAsia="方正小标宋简体" w:cs="方正小标宋简体"/>
          <w:b w:val="0"/>
          <w:bCs/>
          <w:i w:val="0"/>
          <w:caps w:val="0"/>
          <w:color w:val="auto"/>
          <w:spacing w:val="0"/>
          <w:w w:val="98"/>
          <w:sz w:val="44"/>
          <w:szCs w:val="44"/>
          <w:lang w:val="en-US"/>
        </w:rPr>
        <w:t>25</w:t>
      </w:r>
      <w:r>
        <w:rPr>
          <w:rFonts w:hint="eastAsia" w:ascii="方正小标宋简体" w:hAnsi="方正小标宋简体" w:eastAsia="方正小标宋简体" w:cs="方正小标宋简体"/>
          <w:b w:val="0"/>
          <w:bCs/>
          <w:i w:val="0"/>
          <w:caps w:val="0"/>
          <w:color w:val="auto"/>
          <w:spacing w:val="0"/>
          <w:w w:val="98"/>
          <w:sz w:val="44"/>
          <w:szCs w:val="44"/>
        </w:rPr>
        <w:t>年安阳市国民经济和社会发展统计公报</w:t>
      </w:r>
    </w:p>
    <w:p w14:paraId="1E696D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楷体_GB2312" w:hAnsi="楷体_GB2312" w:eastAsia="楷体_GB2312" w:cs="楷体_GB2312"/>
          <w:b w:val="0"/>
          <w:i w:val="0"/>
          <w:caps w:val="0"/>
          <w:color w:val="auto"/>
          <w:spacing w:val="0"/>
          <w:sz w:val="32"/>
          <w:szCs w:val="32"/>
        </w:rPr>
      </w:pPr>
      <w:r>
        <w:rPr>
          <w:rFonts w:hint="eastAsia" w:ascii="楷体_GB2312" w:hAnsi="楷体_GB2312" w:eastAsia="楷体_GB2312" w:cs="楷体_GB2312"/>
          <w:b w:val="0"/>
          <w:i w:val="0"/>
          <w:caps w:val="0"/>
          <w:color w:val="auto"/>
          <w:spacing w:val="0"/>
          <w:sz w:val="32"/>
          <w:szCs w:val="32"/>
          <w:shd w:val="clear" w:color="auto" w:fill="FFFFFF"/>
        </w:rPr>
        <w:t>安阳市统计局</w:t>
      </w:r>
      <w:r>
        <w:rPr>
          <w:rFonts w:hint="eastAsia" w:ascii="楷体_GB2312" w:hAnsi="楷体_GB2312" w:eastAsia="楷体_GB2312" w:cs="楷体_GB2312"/>
          <w:b w:val="0"/>
          <w:i w:val="0"/>
          <w:caps w:val="0"/>
          <w:color w:val="auto"/>
          <w:spacing w:val="0"/>
          <w:sz w:val="32"/>
          <w:szCs w:val="32"/>
          <w:shd w:val="clear" w:color="auto" w:fill="FFFFFF"/>
          <w:lang w:val="en-US" w:eastAsia="zh-CN"/>
        </w:rPr>
        <w:t xml:space="preserve">  </w:t>
      </w:r>
      <w:r>
        <w:rPr>
          <w:rFonts w:hint="eastAsia" w:ascii="楷体_GB2312" w:hAnsi="楷体_GB2312" w:eastAsia="楷体_GB2312" w:cs="楷体_GB2312"/>
          <w:b w:val="0"/>
          <w:i w:val="0"/>
          <w:caps w:val="0"/>
          <w:color w:val="auto"/>
          <w:spacing w:val="0"/>
          <w:sz w:val="32"/>
          <w:szCs w:val="32"/>
          <w:shd w:val="clear" w:color="auto" w:fill="FFFFFF"/>
        </w:rPr>
        <w:t>国家统计局安阳调查队</w:t>
      </w:r>
    </w:p>
    <w:p w14:paraId="3C7148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楷体_GB2312" w:hAnsi="楷体_GB2312" w:eastAsia="楷体_GB2312" w:cs="楷体_GB2312"/>
          <w:b w:val="0"/>
          <w:i w:val="0"/>
          <w:caps w:val="0"/>
          <w:color w:val="auto"/>
          <w:spacing w:val="0"/>
          <w:sz w:val="32"/>
          <w:szCs w:val="32"/>
        </w:rPr>
      </w:pPr>
      <w:r>
        <w:rPr>
          <w:rFonts w:hint="eastAsia" w:ascii="楷体_GB2312" w:hAnsi="楷体_GB2312" w:eastAsia="楷体_GB2312" w:cs="楷体_GB2312"/>
          <w:b w:val="0"/>
          <w:i w:val="0"/>
          <w:caps w:val="0"/>
          <w:color w:val="auto"/>
          <w:spacing w:val="0"/>
          <w:sz w:val="32"/>
          <w:szCs w:val="32"/>
          <w:shd w:val="clear" w:color="auto" w:fill="FFFFFF"/>
        </w:rPr>
        <w:t>202</w:t>
      </w:r>
      <w:r>
        <w:rPr>
          <w:rFonts w:hint="default" w:ascii="楷体_GB2312" w:hAnsi="楷体_GB2312" w:eastAsia="楷体_GB2312" w:cs="楷体_GB2312"/>
          <w:b w:val="0"/>
          <w:i w:val="0"/>
          <w:caps w:val="0"/>
          <w:color w:val="auto"/>
          <w:spacing w:val="0"/>
          <w:sz w:val="32"/>
          <w:szCs w:val="32"/>
          <w:shd w:val="clear" w:color="auto" w:fill="FFFFFF"/>
          <w:lang w:val="en-US" w:eastAsia="zh-CN"/>
        </w:rPr>
        <w:t>6</w:t>
      </w:r>
      <w:r>
        <w:rPr>
          <w:rFonts w:hint="eastAsia" w:ascii="楷体_GB2312" w:hAnsi="楷体_GB2312" w:eastAsia="楷体_GB2312" w:cs="楷体_GB2312"/>
          <w:b w:val="0"/>
          <w:i w:val="0"/>
          <w:caps w:val="0"/>
          <w:color w:val="auto"/>
          <w:spacing w:val="0"/>
          <w:sz w:val="32"/>
          <w:szCs w:val="32"/>
          <w:shd w:val="clear" w:color="auto" w:fill="FFFFFF"/>
        </w:rPr>
        <w:t>年</w:t>
      </w:r>
      <w:r>
        <w:rPr>
          <w:rFonts w:hint="eastAsia" w:ascii="楷体_GB2312" w:hAnsi="楷体_GB2312" w:eastAsia="楷体_GB2312" w:cs="楷体_GB2312"/>
          <w:b w:val="0"/>
          <w:i w:val="0"/>
          <w:caps w:val="0"/>
          <w:color w:val="auto"/>
          <w:spacing w:val="0"/>
          <w:sz w:val="32"/>
          <w:szCs w:val="32"/>
          <w:shd w:val="clear" w:color="auto" w:fill="FFFFFF"/>
          <w:lang w:val="en-US" w:eastAsia="zh-CN"/>
        </w:rPr>
        <w:t>5</w:t>
      </w:r>
      <w:r>
        <w:rPr>
          <w:rFonts w:hint="eastAsia" w:ascii="楷体_GB2312" w:hAnsi="楷体_GB2312" w:eastAsia="楷体_GB2312" w:cs="楷体_GB2312"/>
          <w:b w:val="0"/>
          <w:i w:val="0"/>
          <w:caps w:val="0"/>
          <w:color w:val="auto"/>
          <w:spacing w:val="0"/>
          <w:sz w:val="32"/>
          <w:szCs w:val="32"/>
          <w:shd w:val="clear" w:color="auto" w:fill="FFFFFF"/>
        </w:rPr>
        <w:t>月</w:t>
      </w:r>
    </w:p>
    <w:p w14:paraId="3A90A89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 w:lineRule="atLeast"/>
        <w:ind w:left="0" w:right="0" w:firstLine="420"/>
        <w:rPr>
          <w:rFonts w:hint="eastAsia" w:ascii="宋体" w:hAnsi="宋体" w:eastAsia="宋体" w:cs="宋体"/>
          <w:i w:val="0"/>
          <w:caps w:val="0"/>
          <w:color w:val="auto"/>
          <w:spacing w:val="0"/>
          <w:sz w:val="19"/>
          <w:szCs w:val="19"/>
        </w:rPr>
      </w:pPr>
      <w:r>
        <w:rPr>
          <w:rFonts w:hint="eastAsia" w:ascii="宋体" w:hAnsi="宋体" w:eastAsia="宋体" w:cs="宋体"/>
          <w:i w:val="0"/>
          <w:caps w:val="0"/>
          <w:color w:val="auto"/>
          <w:spacing w:val="0"/>
          <w:sz w:val="19"/>
          <w:szCs w:val="19"/>
          <w:shd w:val="clear" w:color="auto" w:fill="FFFFFF"/>
        </w:rPr>
        <w:t> </w:t>
      </w:r>
    </w:p>
    <w:p w14:paraId="61C29456">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9" w:lineRule="exact"/>
        <w:ind w:firstLine="700" w:firstLineChars="200"/>
        <w:jc w:val="both"/>
        <w:textAlignment w:val="auto"/>
        <w:rPr>
          <w:rFonts w:hint="eastAsia" w:ascii="仿宋_GB2312" w:hAnsi="仿宋_GB2312" w:eastAsia="仿宋_GB2312" w:cs="仿宋_GB2312"/>
          <w:b w:val="0"/>
          <w:bCs w:val="0"/>
          <w:color w:val="auto"/>
          <w:sz w:val="32"/>
          <w:szCs w:val="32"/>
          <w:u w:val="none"/>
          <w:shd w:val="clear" w:color="auto" w:fill="FFFFFF"/>
        </w:rPr>
      </w:pPr>
      <w:r>
        <w:rPr>
          <w:rFonts w:hint="eastAsia" w:ascii="仿宋_GB2312" w:hAnsi="仿宋_GB2312" w:eastAsia="仿宋_GB2312" w:cs="仿宋_GB2312"/>
          <w:b w:val="0"/>
          <w:bCs w:val="0"/>
          <w:i w:val="0"/>
          <w:caps w:val="0"/>
          <w:color w:val="auto"/>
          <w:spacing w:val="15"/>
          <w:kern w:val="0"/>
          <w:sz w:val="32"/>
          <w:szCs w:val="32"/>
          <w:u w:val="none"/>
          <w:shd w:val="clear" w:color="auto" w:fill="FFFFFF"/>
          <w:lang w:val="en-US" w:eastAsia="zh-CN" w:bidi="ar"/>
        </w:rPr>
        <w:t>2025年是“十四五”规划收官之年。面对国内外形势深刻复杂变化，全市上下以习近平新时代中国特色社会主义思想为指导，深入学习贯彻习近平总书记关于河南工作的重要论述及视察安阳重要讲话精神，扎实推进高质量发展、高效能治理，全市经济社会各项事业实现稳定发展，强市建设迈上新台阶。</w:t>
      </w:r>
    </w:p>
    <w:p w14:paraId="2E14C57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9" w:lineRule="exact"/>
        <w:ind w:left="0" w:right="0" w:firstLine="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一、综   合</w:t>
      </w:r>
    </w:p>
    <w:p w14:paraId="00C47CCB">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仿宋_GB2312" w:hAnsi="仿宋_GB2312" w:eastAsia="仿宋_GB2312" w:cs="仿宋_GB2312"/>
          <w:b w:val="0"/>
          <w:bCs w:val="0"/>
          <w:i w:val="0"/>
          <w:caps w:val="0"/>
          <w:color w:val="FF0000"/>
          <w:spacing w:val="0"/>
          <w:kern w:val="0"/>
          <w:sz w:val="32"/>
          <w:szCs w:val="32"/>
          <w:highlight w:val="none"/>
          <w:u w:val="none"/>
          <w:shd w:val="clear" w:color="auto" w:fill="FFFFFF"/>
          <w:lang w:val="en" w:eastAsia="zh-CN" w:bidi="ar-SA"/>
        </w:rPr>
      </w:pP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初步核算，全年全市实现地区生产总值</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2765.8</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亿元，比上年增长</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5.5</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%。分产业看，第一产业增加值</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214.5</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亿元，同比增长</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4.0</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%；第二产业增加值</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1085.7</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亿元，同比增长</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4.4</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%；第三产业增加值</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1465.6</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亿元，同比增长</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6.6</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%。三次产业结构之比为</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7.7</w:t>
      </w:r>
      <w:r>
        <w:rPr>
          <w:rFonts w:hint="default"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39.3</w:t>
      </w:r>
      <w:r>
        <w:rPr>
          <w:rFonts w:hint="default"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53.0</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。按常住人口计算，全年人均地区生产总值</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51485</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元，比上年增长</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5.7</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w:t>
      </w:r>
    </w:p>
    <w:p w14:paraId="0B7C5AE0">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9" w:lineRule="exact"/>
        <w:ind w:firstLine="640" w:firstLineChars="200"/>
        <w:jc w:val="both"/>
        <w:textAlignment w:val="auto"/>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pP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年末全市常住人口535万人，较上年减少4.4万人，城镇化率57.6%，较上年提高0.7个百分点。分城乡看，城镇人口308.16万人，乡村人口226.84万人。分性别看，男性人口264万人，女性人口271万人。分年龄段看，0-15岁（含不满16周岁）人口107.8万人，占比20.15%；16-59岁（含不满60周岁）人口312.8万人，占比58.47%；60周岁及以上人口114.4万人，占比21.</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4</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%，其中65周岁及以上人口81.9万人，占比15.3%。全年出生人口3.05万人，人口出生率为5.</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SA"/>
        </w:rPr>
        <w:t>7</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‰；死亡人口4.46万人，人口死亡率为8.3‰。</w:t>
      </w:r>
    </w:p>
    <w:p w14:paraId="1AB6E6B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pP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 w:eastAsia="zh-CN" w:bidi="ar-SA"/>
        </w:rPr>
        <w:t>全年全市城镇新增就业73987人。失业人员实现再就业23274人，就业困难人员实现就业7199人。</w:t>
      </w:r>
    </w:p>
    <w:p w14:paraId="5AB29F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全年全市居民消费价格总水平比去年同期下降0.3%。其中，食品价格下降2.6%，非食品价格上涨0.3%；消费品价格下降0.6%，服务价格上涨0.3%，工业品价格上涨0.3%。</w:t>
      </w:r>
    </w:p>
    <w:p w14:paraId="47F349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jc w:val="center"/>
        <w:textAlignment w:val="auto"/>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pPr>
    </w:p>
    <w:p w14:paraId="3E2B60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jc w:val="center"/>
        <w:textAlignment w:val="auto"/>
        <w:rPr>
          <w:rFonts w:hint="eastAsia" w:ascii="仿宋_GB2312" w:hAnsi="仿宋_GB2312" w:eastAsia="仿宋_GB2312" w:cs="仿宋_GB2312"/>
          <w:b/>
          <w:bCs/>
          <w:i w:val="0"/>
          <w:caps w:val="0"/>
          <w:color w:val="auto"/>
          <w:spacing w:val="0"/>
          <w:sz w:val="32"/>
          <w:szCs w:val="32"/>
          <w:highlight w:val="none"/>
          <w:u w:val="none"/>
          <w:shd w:val="clear" w:color="auto" w:fill="FFFFFF"/>
          <w:lang w:val="en-US" w:eastAsia="zh-CN"/>
        </w:rPr>
      </w:pPr>
      <w:r>
        <w:rPr>
          <w:rFonts w:hint="eastAsia" w:ascii="仿宋_GB2312" w:hAnsi="仿宋_GB2312" w:eastAsia="仿宋_GB2312" w:cs="仿宋_GB2312"/>
          <w:b/>
          <w:bCs/>
          <w:i w:val="0"/>
          <w:caps w:val="0"/>
          <w:color w:val="auto"/>
          <w:spacing w:val="0"/>
          <w:sz w:val="32"/>
          <w:szCs w:val="32"/>
          <w:highlight w:val="none"/>
          <w:u w:val="none"/>
          <w:shd w:val="clear" w:color="auto" w:fill="FFFFFF"/>
          <w:lang w:val="en-US" w:eastAsia="zh-CN"/>
        </w:rPr>
        <w:t>表１  20</w:t>
      </w:r>
      <w:r>
        <w:rPr>
          <w:rFonts w:hint="default" w:ascii="仿宋_GB2312" w:hAnsi="仿宋_GB2312" w:eastAsia="仿宋_GB2312" w:cs="仿宋_GB2312"/>
          <w:b/>
          <w:bCs/>
          <w:i w:val="0"/>
          <w:caps w:val="0"/>
          <w:color w:val="auto"/>
          <w:spacing w:val="0"/>
          <w:sz w:val="32"/>
          <w:szCs w:val="32"/>
          <w:highlight w:val="none"/>
          <w:u w:val="none"/>
          <w:shd w:val="clear" w:color="auto" w:fill="FFFFFF"/>
          <w:lang w:val="en-US" w:eastAsia="zh-CN"/>
        </w:rPr>
        <w:t>25</w:t>
      </w:r>
      <w:r>
        <w:rPr>
          <w:rFonts w:hint="eastAsia" w:ascii="仿宋_GB2312" w:hAnsi="仿宋_GB2312" w:eastAsia="仿宋_GB2312" w:cs="仿宋_GB2312"/>
          <w:b/>
          <w:bCs/>
          <w:i w:val="0"/>
          <w:caps w:val="0"/>
          <w:color w:val="auto"/>
          <w:spacing w:val="0"/>
          <w:sz w:val="32"/>
          <w:szCs w:val="32"/>
          <w:highlight w:val="none"/>
          <w:u w:val="none"/>
          <w:shd w:val="clear" w:color="auto" w:fill="FFFFFF"/>
          <w:lang w:val="en-US" w:eastAsia="zh-CN"/>
        </w:rPr>
        <w:t>年居民消费价格指数</w:t>
      </w:r>
    </w:p>
    <w:p w14:paraId="1A3DF45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center"/>
        <w:rPr>
          <w:rFonts w:hint="eastAsia" w:ascii="宋体" w:hAnsi="宋体" w:eastAsia="宋体" w:cs="宋体"/>
          <w:i w:val="0"/>
          <w:caps w:val="0"/>
          <w:color w:val="auto"/>
          <w:spacing w:val="0"/>
          <w:sz w:val="19"/>
          <w:szCs w:val="19"/>
        </w:rPr>
      </w:pPr>
      <w:r>
        <w:rPr>
          <w:rFonts w:hint="eastAsia" w:ascii="宋体" w:hAnsi="宋体" w:eastAsia="宋体" w:cs="宋体"/>
          <w:i w:val="0"/>
          <w:caps w:val="0"/>
          <w:color w:val="auto"/>
          <w:spacing w:val="0"/>
          <w:sz w:val="19"/>
          <w:szCs w:val="19"/>
          <w:shd w:val="clear" w:color="auto" w:fill="FFFFFF"/>
        </w:rPr>
        <w:t>以上年为100</w:t>
      </w:r>
    </w:p>
    <w:tbl>
      <w:tblPr>
        <w:tblStyle w:val="7"/>
        <w:tblW w:w="54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64"/>
        <w:gridCol w:w="2178"/>
      </w:tblGrid>
      <w:tr w14:paraId="00F32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single" w:color="000000" w:sz="8" w:space="0"/>
              <w:left w:val="nil"/>
              <w:bottom w:val="single" w:color="000000" w:sz="8" w:space="0"/>
              <w:right w:val="single" w:color="000000" w:sz="8" w:space="0"/>
            </w:tcBorders>
            <w:shd w:val="clear" w:color="auto" w:fill="FFFFFF"/>
            <w:noWrap w:val="0"/>
            <w:tcMar>
              <w:left w:w="108" w:type="dxa"/>
              <w:right w:w="108" w:type="dxa"/>
            </w:tcMar>
            <w:vAlign w:val="bottom"/>
          </w:tcPr>
          <w:p w14:paraId="5803A0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类 别　</w:t>
            </w:r>
          </w:p>
        </w:tc>
        <w:tc>
          <w:tcPr>
            <w:tcW w:w="2178" w:type="dxa"/>
            <w:tcBorders>
              <w:top w:val="single" w:color="000000" w:sz="8" w:space="0"/>
              <w:left w:val="nil"/>
              <w:bottom w:val="single" w:color="000000" w:sz="8" w:space="0"/>
              <w:right w:val="nil"/>
            </w:tcBorders>
            <w:shd w:val="clear" w:color="auto" w:fill="FFFFFF"/>
            <w:noWrap w:val="0"/>
            <w:tcMar>
              <w:left w:w="108" w:type="dxa"/>
              <w:right w:w="108" w:type="dxa"/>
            </w:tcMar>
            <w:vAlign w:val="center"/>
          </w:tcPr>
          <w:p w14:paraId="3817F4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居民消费价格指数</w:t>
            </w:r>
          </w:p>
        </w:tc>
      </w:tr>
      <w:tr w14:paraId="73BA0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000000" w:sz="8" w:space="0"/>
            </w:tcBorders>
            <w:shd w:val="clear" w:color="auto" w:fill="FFFFFF"/>
            <w:noWrap w:val="0"/>
            <w:tcMar>
              <w:left w:w="108" w:type="dxa"/>
              <w:right w:w="108" w:type="dxa"/>
            </w:tcMar>
            <w:vAlign w:val="center"/>
          </w:tcPr>
          <w:p w14:paraId="0DDF57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合计</w:t>
            </w:r>
          </w:p>
        </w:tc>
        <w:tc>
          <w:tcPr>
            <w:tcW w:w="2178" w:type="dxa"/>
            <w:tcBorders>
              <w:top w:val="nil"/>
              <w:left w:val="nil"/>
              <w:bottom w:val="nil"/>
              <w:right w:val="nil"/>
            </w:tcBorders>
            <w:shd w:val="clear" w:color="auto" w:fill="FFFFFF"/>
            <w:noWrap w:val="0"/>
            <w:tcMar>
              <w:left w:w="108" w:type="dxa"/>
              <w:right w:w="108" w:type="dxa"/>
            </w:tcMar>
            <w:vAlign w:val="center"/>
          </w:tcPr>
          <w:p w14:paraId="7F6D83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eastAsia="zh-CN"/>
              </w:rPr>
            </w:pPr>
            <w:r>
              <w:rPr>
                <w:rFonts w:hint="default" w:ascii="宋体" w:hAnsi="宋体" w:cs="宋体"/>
                <w:i w:val="0"/>
                <w:caps w:val="0"/>
                <w:color w:val="auto"/>
                <w:spacing w:val="0"/>
                <w:sz w:val="19"/>
                <w:szCs w:val="19"/>
                <w:lang w:val="en-US" w:eastAsia="zh-CN"/>
              </w:rPr>
              <w:t>99.7</w:t>
            </w:r>
          </w:p>
        </w:tc>
      </w:tr>
      <w:tr w14:paraId="22DA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000000" w:sz="8" w:space="0"/>
            </w:tcBorders>
            <w:shd w:val="clear" w:color="auto" w:fill="FFFFFF"/>
            <w:noWrap w:val="0"/>
            <w:tcMar>
              <w:left w:w="108" w:type="dxa"/>
              <w:right w:w="108" w:type="dxa"/>
            </w:tcMar>
            <w:vAlign w:val="center"/>
          </w:tcPr>
          <w:p w14:paraId="7BE7DB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一、食品烟酒</w:t>
            </w:r>
          </w:p>
        </w:tc>
        <w:tc>
          <w:tcPr>
            <w:tcW w:w="2178" w:type="dxa"/>
            <w:tcBorders>
              <w:top w:val="nil"/>
              <w:left w:val="nil"/>
              <w:bottom w:val="nil"/>
              <w:right w:val="nil"/>
            </w:tcBorders>
            <w:shd w:val="clear" w:color="auto" w:fill="FFFFFF"/>
            <w:noWrap w:val="0"/>
            <w:tcMar>
              <w:left w:w="108" w:type="dxa"/>
              <w:right w:w="108" w:type="dxa"/>
            </w:tcMar>
            <w:vAlign w:val="center"/>
          </w:tcPr>
          <w:p w14:paraId="1606C0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eastAsia="zh-CN"/>
              </w:rPr>
            </w:pPr>
            <w:r>
              <w:rPr>
                <w:rFonts w:hint="default" w:ascii="宋体" w:hAnsi="宋体" w:cs="宋体"/>
                <w:i w:val="0"/>
                <w:caps w:val="0"/>
                <w:color w:val="auto"/>
                <w:spacing w:val="0"/>
                <w:sz w:val="19"/>
                <w:szCs w:val="19"/>
                <w:lang w:val="en-US" w:eastAsia="zh-CN"/>
              </w:rPr>
              <w:t>98.3</w:t>
            </w:r>
          </w:p>
        </w:tc>
      </w:tr>
      <w:tr w14:paraId="77999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000000" w:sz="8" w:space="0"/>
            </w:tcBorders>
            <w:shd w:val="clear" w:color="auto" w:fill="FFFFFF"/>
            <w:noWrap w:val="0"/>
            <w:tcMar>
              <w:left w:w="108" w:type="dxa"/>
              <w:right w:w="108" w:type="dxa"/>
            </w:tcMar>
            <w:vAlign w:val="center"/>
          </w:tcPr>
          <w:p w14:paraId="642EC7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1.粮食</w:t>
            </w:r>
          </w:p>
        </w:tc>
        <w:tc>
          <w:tcPr>
            <w:tcW w:w="2178" w:type="dxa"/>
            <w:tcBorders>
              <w:top w:val="nil"/>
              <w:left w:val="nil"/>
              <w:bottom w:val="nil"/>
              <w:right w:val="nil"/>
            </w:tcBorders>
            <w:shd w:val="clear" w:color="auto" w:fill="FFFFFF"/>
            <w:noWrap w:val="0"/>
            <w:tcMar>
              <w:left w:w="108" w:type="dxa"/>
              <w:right w:w="108" w:type="dxa"/>
            </w:tcMar>
            <w:vAlign w:val="center"/>
          </w:tcPr>
          <w:p w14:paraId="35526E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98.7</w:t>
            </w:r>
          </w:p>
        </w:tc>
      </w:tr>
      <w:tr w14:paraId="78ED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000000" w:sz="8" w:space="0"/>
            </w:tcBorders>
            <w:shd w:val="clear" w:color="auto" w:fill="FFFFFF"/>
            <w:noWrap w:val="0"/>
            <w:tcMar>
              <w:left w:w="108" w:type="dxa"/>
              <w:right w:w="108" w:type="dxa"/>
            </w:tcMar>
            <w:vAlign w:val="center"/>
          </w:tcPr>
          <w:p w14:paraId="6E5112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2.鲜菜</w:t>
            </w:r>
          </w:p>
        </w:tc>
        <w:tc>
          <w:tcPr>
            <w:tcW w:w="2178" w:type="dxa"/>
            <w:tcBorders>
              <w:top w:val="nil"/>
              <w:left w:val="nil"/>
              <w:bottom w:val="nil"/>
              <w:right w:val="nil"/>
            </w:tcBorders>
            <w:shd w:val="clear" w:color="auto" w:fill="FFFFFF"/>
            <w:noWrap w:val="0"/>
            <w:tcMar>
              <w:left w:w="108" w:type="dxa"/>
              <w:right w:w="108" w:type="dxa"/>
            </w:tcMar>
            <w:vAlign w:val="center"/>
          </w:tcPr>
          <w:p w14:paraId="4203D4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96.4</w:t>
            </w:r>
          </w:p>
        </w:tc>
      </w:tr>
      <w:tr w14:paraId="4A46A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000000" w:sz="8" w:space="0"/>
            </w:tcBorders>
            <w:shd w:val="clear" w:color="auto" w:fill="FFFFFF"/>
            <w:noWrap w:val="0"/>
            <w:tcMar>
              <w:left w:w="108" w:type="dxa"/>
              <w:right w:w="108" w:type="dxa"/>
            </w:tcMar>
            <w:vAlign w:val="center"/>
          </w:tcPr>
          <w:p w14:paraId="7915B4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3.畜肉</w:t>
            </w:r>
          </w:p>
        </w:tc>
        <w:tc>
          <w:tcPr>
            <w:tcW w:w="2178" w:type="dxa"/>
            <w:tcBorders>
              <w:top w:val="nil"/>
              <w:left w:val="nil"/>
              <w:bottom w:val="nil"/>
              <w:right w:val="nil"/>
            </w:tcBorders>
            <w:shd w:val="clear" w:color="auto" w:fill="FFFFFF"/>
            <w:noWrap w:val="0"/>
            <w:tcMar>
              <w:left w:w="108" w:type="dxa"/>
              <w:right w:w="108" w:type="dxa"/>
            </w:tcMar>
            <w:vAlign w:val="center"/>
          </w:tcPr>
          <w:p w14:paraId="624788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92.6</w:t>
            </w:r>
          </w:p>
        </w:tc>
      </w:tr>
      <w:tr w14:paraId="3B30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000000" w:sz="8" w:space="0"/>
            </w:tcBorders>
            <w:shd w:val="clear" w:color="auto" w:fill="FFFFFF"/>
            <w:noWrap w:val="0"/>
            <w:tcMar>
              <w:left w:w="108" w:type="dxa"/>
              <w:right w:w="108" w:type="dxa"/>
            </w:tcMar>
            <w:vAlign w:val="center"/>
          </w:tcPr>
          <w:p w14:paraId="1D5995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4.水产品</w:t>
            </w:r>
          </w:p>
        </w:tc>
        <w:tc>
          <w:tcPr>
            <w:tcW w:w="2178" w:type="dxa"/>
            <w:tcBorders>
              <w:top w:val="nil"/>
              <w:left w:val="nil"/>
              <w:bottom w:val="nil"/>
              <w:right w:val="nil"/>
            </w:tcBorders>
            <w:shd w:val="clear" w:color="auto" w:fill="FFFFFF"/>
            <w:noWrap w:val="0"/>
            <w:tcMar>
              <w:left w:w="108" w:type="dxa"/>
              <w:right w:w="108" w:type="dxa"/>
            </w:tcMar>
            <w:vAlign w:val="center"/>
          </w:tcPr>
          <w:p w14:paraId="158BD3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101.7</w:t>
            </w:r>
          </w:p>
        </w:tc>
      </w:tr>
      <w:tr w14:paraId="6B85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0914A3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5.蛋</w:t>
            </w:r>
          </w:p>
        </w:tc>
        <w:tc>
          <w:tcPr>
            <w:tcW w:w="2178" w:type="dxa"/>
            <w:tcBorders>
              <w:top w:val="nil"/>
              <w:left w:val="nil"/>
              <w:bottom w:val="nil"/>
              <w:right w:val="nil"/>
            </w:tcBorders>
            <w:shd w:val="clear" w:color="auto" w:fill="FFFFFF"/>
            <w:noWrap w:val="0"/>
            <w:tcMar>
              <w:left w:w="108" w:type="dxa"/>
              <w:right w:w="108" w:type="dxa"/>
            </w:tcMar>
            <w:vAlign w:val="center"/>
          </w:tcPr>
          <w:p w14:paraId="7742D1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90.2</w:t>
            </w:r>
          </w:p>
        </w:tc>
      </w:tr>
      <w:tr w14:paraId="4A07D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12D8BC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6.鲜果</w:t>
            </w:r>
          </w:p>
        </w:tc>
        <w:tc>
          <w:tcPr>
            <w:tcW w:w="2178" w:type="dxa"/>
            <w:tcBorders>
              <w:top w:val="nil"/>
              <w:left w:val="nil"/>
              <w:bottom w:val="nil"/>
              <w:right w:val="nil"/>
            </w:tcBorders>
            <w:shd w:val="clear" w:color="auto" w:fill="FFFFFF"/>
            <w:noWrap w:val="0"/>
            <w:tcMar>
              <w:left w:w="108" w:type="dxa"/>
              <w:right w:w="108" w:type="dxa"/>
            </w:tcMar>
            <w:vAlign w:val="center"/>
          </w:tcPr>
          <w:p w14:paraId="18FFCB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102.7</w:t>
            </w:r>
          </w:p>
        </w:tc>
      </w:tr>
      <w:tr w14:paraId="1549E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7B7985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二、衣着</w:t>
            </w:r>
          </w:p>
        </w:tc>
        <w:tc>
          <w:tcPr>
            <w:tcW w:w="2178" w:type="dxa"/>
            <w:tcBorders>
              <w:top w:val="nil"/>
              <w:left w:val="nil"/>
              <w:bottom w:val="nil"/>
              <w:right w:val="nil"/>
            </w:tcBorders>
            <w:shd w:val="clear" w:color="auto" w:fill="FFFFFF"/>
            <w:noWrap w:val="0"/>
            <w:tcMar>
              <w:left w:w="108" w:type="dxa"/>
              <w:right w:w="108" w:type="dxa"/>
            </w:tcMar>
            <w:vAlign w:val="center"/>
          </w:tcPr>
          <w:p w14:paraId="6B6032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101.5</w:t>
            </w:r>
          </w:p>
        </w:tc>
      </w:tr>
      <w:tr w14:paraId="2AD24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743738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三、居住</w:t>
            </w:r>
          </w:p>
        </w:tc>
        <w:tc>
          <w:tcPr>
            <w:tcW w:w="2178" w:type="dxa"/>
            <w:tcBorders>
              <w:top w:val="nil"/>
              <w:left w:val="nil"/>
              <w:bottom w:val="nil"/>
              <w:right w:val="nil"/>
            </w:tcBorders>
            <w:shd w:val="clear" w:color="auto" w:fill="FFFFFF"/>
            <w:noWrap w:val="0"/>
            <w:tcMar>
              <w:left w:w="108" w:type="dxa"/>
              <w:right w:w="108" w:type="dxa"/>
            </w:tcMar>
            <w:vAlign w:val="center"/>
          </w:tcPr>
          <w:p w14:paraId="2F0F2A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100.4</w:t>
            </w:r>
          </w:p>
        </w:tc>
      </w:tr>
      <w:tr w14:paraId="3F9D6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298E1D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四、生活用品及服务</w:t>
            </w:r>
          </w:p>
        </w:tc>
        <w:tc>
          <w:tcPr>
            <w:tcW w:w="2178" w:type="dxa"/>
            <w:tcBorders>
              <w:top w:val="nil"/>
              <w:left w:val="nil"/>
              <w:bottom w:val="nil"/>
              <w:right w:val="nil"/>
            </w:tcBorders>
            <w:shd w:val="clear" w:color="auto" w:fill="FFFFFF"/>
            <w:noWrap w:val="0"/>
            <w:tcMar>
              <w:left w:w="108" w:type="dxa"/>
              <w:right w:w="108" w:type="dxa"/>
            </w:tcMar>
            <w:vAlign w:val="center"/>
          </w:tcPr>
          <w:p w14:paraId="590282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100.7</w:t>
            </w:r>
          </w:p>
        </w:tc>
      </w:tr>
      <w:tr w14:paraId="69BD5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073B57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五、交通和通讯</w:t>
            </w:r>
          </w:p>
        </w:tc>
        <w:tc>
          <w:tcPr>
            <w:tcW w:w="2178" w:type="dxa"/>
            <w:tcBorders>
              <w:top w:val="nil"/>
              <w:left w:val="nil"/>
              <w:bottom w:val="nil"/>
              <w:right w:val="nil"/>
            </w:tcBorders>
            <w:shd w:val="clear" w:color="auto" w:fill="FFFFFF"/>
            <w:noWrap w:val="0"/>
            <w:tcMar>
              <w:left w:w="108" w:type="dxa"/>
              <w:right w:w="108" w:type="dxa"/>
            </w:tcMar>
            <w:vAlign w:val="center"/>
          </w:tcPr>
          <w:p w14:paraId="3170E9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auto"/>
                <w:lang w:val="en-US"/>
              </w:rPr>
            </w:pPr>
            <w:r>
              <w:rPr>
                <w:rFonts w:hint="default" w:ascii="宋体" w:hAnsi="宋体" w:cs="宋体"/>
                <w:i w:val="0"/>
                <w:caps w:val="0"/>
                <w:color w:val="auto"/>
                <w:spacing w:val="0"/>
                <w:sz w:val="19"/>
                <w:szCs w:val="19"/>
                <w:lang w:val="en-US"/>
              </w:rPr>
              <w:t>97.5</w:t>
            </w:r>
          </w:p>
        </w:tc>
      </w:tr>
      <w:tr w14:paraId="530E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6A53B0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六、教育文化和娱乐</w:t>
            </w:r>
          </w:p>
        </w:tc>
        <w:tc>
          <w:tcPr>
            <w:tcW w:w="2178" w:type="dxa"/>
            <w:tcBorders>
              <w:top w:val="nil"/>
              <w:left w:val="nil"/>
              <w:bottom w:val="nil"/>
              <w:right w:val="nil"/>
            </w:tcBorders>
            <w:shd w:val="clear" w:color="auto" w:fill="FFFFFF"/>
            <w:noWrap w:val="0"/>
            <w:tcMar>
              <w:left w:w="108" w:type="dxa"/>
              <w:right w:w="108" w:type="dxa"/>
            </w:tcMar>
            <w:vAlign w:val="center"/>
          </w:tcPr>
          <w:p w14:paraId="2BA56E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99.6</w:t>
            </w:r>
          </w:p>
        </w:tc>
      </w:tr>
      <w:tr w14:paraId="4DF91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nil"/>
              <w:right w:val="single" w:color="auto" w:sz="8" w:space="0"/>
            </w:tcBorders>
            <w:shd w:val="clear" w:color="auto" w:fill="FFFFFF"/>
            <w:noWrap w:val="0"/>
            <w:tcMar>
              <w:left w:w="108" w:type="dxa"/>
              <w:right w:w="108" w:type="dxa"/>
            </w:tcMar>
            <w:vAlign w:val="center"/>
          </w:tcPr>
          <w:p w14:paraId="334CC5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七、医疗保健</w:t>
            </w:r>
          </w:p>
        </w:tc>
        <w:tc>
          <w:tcPr>
            <w:tcW w:w="2178" w:type="dxa"/>
            <w:tcBorders>
              <w:top w:val="nil"/>
              <w:left w:val="nil"/>
              <w:bottom w:val="nil"/>
              <w:right w:val="nil"/>
            </w:tcBorders>
            <w:shd w:val="clear" w:color="auto" w:fill="FFFFFF"/>
            <w:noWrap w:val="0"/>
            <w:tcMar>
              <w:left w:w="108" w:type="dxa"/>
              <w:right w:w="108" w:type="dxa"/>
            </w:tcMar>
            <w:vAlign w:val="center"/>
          </w:tcPr>
          <w:p w14:paraId="7096F8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100.6</w:t>
            </w:r>
          </w:p>
        </w:tc>
      </w:tr>
      <w:tr w14:paraId="60E59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54" w:hRule="atLeast"/>
          <w:jc w:val="center"/>
        </w:trPr>
        <w:tc>
          <w:tcPr>
            <w:tcW w:w="3264"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14:paraId="377EEF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ind w:left="0" w:right="0"/>
              <w:jc w:val="both"/>
              <w:rPr>
                <w:color w:val="auto"/>
              </w:rPr>
            </w:pPr>
            <w:r>
              <w:rPr>
                <w:rFonts w:hint="eastAsia" w:ascii="宋体" w:hAnsi="宋体" w:eastAsia="宋体" w:cs="宋体"/>
                <w:i w:val="0"/>
                <w:caps w:val="0"/>
                <w:color w:val="auto"/>
                <w:spacing w:val="0"/>
                <w:sz w:val="19"/>
                <w:szCs w:val="19"/>
              </w:rPr>
              <w:t>  八、其它用品和服务</w:t>
            </w:r>
          </w:p>
        </w:tc>
        <w:tc>
          <w:tcPr>
            <w:tcW w:w="2178" w:type="dxa"/>
            <w:tcBorders>
              <w:top w:val="nil"/>
              <w:left w:val="nil"/>
              <w:bottom w:val="single" w:color="000000" w:sz="8" w:space="0"/>
              <w:right w:val="nil"/>
            </w:tcBorders>
            <w:shd w:val="clear" w:color="auto" w:fill="FFFFFF"/>
            <w:noWrap w:val="0"/>
            <w:tcMar>
              <w:left w:w="108" w:type="dxa"/>
              <w:right w:w="108" w:type="dxa"/>
            </w:tcMar>
            <w:vAlign w:val="center"/>
          </w:tcPr>
          <w:p w14:paraId="0473F5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auto"/>
                <w:spacing w:val="0"/>
                <w:sz w:val="19"/>
                <w:szCs w:val="19"/>
                <w:lang w:val="en-US"/>
              </w:rPr>
            </w:pPr>
            <w:r>
              <w:rPr>
                <w:rFonts w:hint="default" w:ascii="宋体" w:hAnsi="宋体" w:cs="宋体"/>
                <w:i w:val="0"/>
                <w:caps w:val="0"/>
                <w:color w:val="auto"/>
                <w:spacing w:val="0"/>
                <w:sz w:val="19"/>
                <w:szCs w:val="19"/>
                <w:lang w:val="en-US"/>
              </w:rPr>
              <w:t>111.1</w:t>
            </w:r>
          </w:p>
        </w:tc>
      </w:tr>
    </w:tbl>
    <w:p w14:paraId="2ED91BF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center"/>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二、农  业</w:t>
      </w:r>
    </w:p>
    <w:p w14:paraId="5FF201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 w:lineRule="atLeast"/>
        <w:ind w:right="0" w:firstLine="640" w:firstLineChars="200"/>
        <w:jc w:val="both"/>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全年全市粮食种植面积</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842.59</w:t>
      </w:r>
      <w:r>
        <w:rPr>
          <w:rFonts w:hint="eastAsia" w:ascii="仿宋_GB2312" w:hAnsi="仿宋_GB2312" w:eastAsia="仿宋_GB2312" w:cs="仿宋_GB2312"/>
          <w:i w:val="0"/>
          <w:caps w:val="0"/>
          <w:color w:val="auto"/>
          <w:spacing w:val="0"/>
          <w:sz w:val="32"/>
          <w:szCs w:val="32"/>
          <w:highlight w:val="none"/>
          <w:u w:val="none"/>
          <w:shd w:val="clear" w:color="auto" w:fill="FFFFFF"/>
        </w:rPr>
        <w:t>万亩。其中，夏粮播种面积</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434.85</w:t>
      </w:r>
      <w:r>
        <w:rPr>
          <w:rFonts w:hint="eastAsia" w:ascii="仿宋_GB2312" w:hAnsi="仿宋_GB2312" w:eastAsia="仿宋_GB2312" w:cs="仿宋_GB2312"/>
          <w:i w:val="0"/>
          <w:caps w:val="0"/>
          <w:color w:val="auto"/>
          <w:spacing w:val="0"/>
          <w:sz w:val="32"/>
          <w:szCs w:val="32"/>
          <w:highlight w:val="none"/>
          <w:u w:val="none"/>
          <w:shd w:val="clear" w:color="auto" w:fill="FFFFFF"/>
        </w:rPr>
        <w:t>万亩，秋粮种植面积</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407.74</w:t>
      </w:r>
      <w:r>
        <w:rPr>
          <w:rFonts w:hint="eastAsia" w:ascii="仿宋_GB2312" w:hAnsi="仿宋_GB2312" w:eastAsia="仿宋_GB2312" w:cs="仿宋_GB2312"/>
          <w:i w:val="0"/>
          <w:caps w:val="0"/>
          <w:color w:val="auto"/>
          <w:spacing w:val="0"/>
          <w:sz w:val="32"/>
          <w:szCs w:val="32"/>
          <w:highlight w:val="none"/>
          <w:u w:val="none"/>
          <w:shd w:val="clear" w:color="auto" w:fill="FFFFFF"/>
        </w:rPr>
        <w:t>万亩。油料播种面积</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73</w:t>
      </w:r>
      <w:r>
        <w:rPr>
          <w:rFonts w:hint="eastAsia" w:ascii="仿宋_GB2312" w:hAnsi="仿宋_GB2312" w:eastAsia="仿宋_GB2312" w:cs="仿宋_GB2312"/>
          <w:i w:val="0"/>
          <w:caps w:val="0"/>
          <w:color w:val="auto"/>
          <w:spacing w:val="0"/>
          <w:sz w:val="32"/>
          <w:szCs w:val="32"/>
          <w:highlight w:val="none"/>
          <w:u w:val="none"/>
          <w:shd w:val="clear" w:color="auto" w:fill="FFFFFF"/>
        </w:rPr>
        <w:t>万亩。蔬菜播种面积12</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6</w:t>
      </w:r>
      <w:r>
        <w:rPr>
          <w:rFonts w:hint="eastAsia" w:ascii="仿宋_GB2312" w:hAnsi="仿宋_GB2312" w:eastAsia="仿宋_GB2312" w:cs="仿宋_GB2312"/>
          <w:i w:val="0"/>
          <w:caps w:val="0"/>
          <w:color w:val="auto"/>
          <w:spacing w:val="0"/>
          <w:sz w:val="32"/>
          <w:szCs w:val="32"/>
          <w:highlight w:val="none"/>
          <w:u w:val="none"/>
          <w:shd w:val="clear" w:color="auto" w:fill="FFFFFF"/>
        </w:rPr>
        <w:t>万亩。</w:t>
      </w:r>
    </w:p>
    <w:p w14:paraId="4055C63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 w:lineRule="atLeast"/>
        <w:ind w:right="0" w:firstLine="640" w:firstLineChars="200"/>
        <w:jc w:val="both"/>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全年全市粮食总产量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385.82</w:t>
      </w:r>
      <w:r>
        <w:rPr>
          <w:rFonts w:hint="eastAsia" w:ascii="仿宋_GB2312" w:hAnsi="仿宋_GB2312" w:eastAsia="仿宋_GB2312" w:cs="仿宋_GB2312"/>
          <w:i w:val="0"/>
          <w:caps w:val="0"/>
          <w:color w:val="auto"/>
          <w:spacing w:val="0"/>
          <w:sz w:val="32"/>
          <w:szCs w:val="32"/>
          <w:highlight w:val="none"/>
          <w:u w:val="none"/>
          <w:shd w:val="clear" w:color="auto" w:fill="FFFFFF"/>
        </w:rPr>
        <w:t>万吨，比上年</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减少0.44</w:t>
      </w:r>
      <w:r>
        <w:rPr>
          <w:rFonts w:hint="eastAsia" w:ascii="仿宋_GB2312" w:hAnsi="仿宋_GB2312" w:eastAsia="仿宋_GB2312" w:cs="仿宋_GB2312"/>
          <w:i w:val="0"/>
          <w:caps w:val="0"/>
          <w:color w:val="auto"/>
          <w:spacing w:val="0"/>
          <w:sz w:val="32"/>
          <w:szCs w:val="32"/>
          <w:highlight w:val="none"/>
          <w:u w:val="none"/>
          <w:shd w:val="clear" w:color="auto" w:fill="FFFFFF"/>
        </w:rPr>
        <w:t>万吨。其中，夏粮产量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213.13</w:t>
      </w:r>
      <w:r>
        <w:rPr>
          <w:rFonts w:hint="eastAsia" w:ascii="仿宋_GB2312" w:hAnsi="仿宋_GB2312" w:eastAsia="仿宋_GB2312" w:cs="仿宋_GB2312"/>
          <w:i w:val="0"/>
          <w:caps w:val="0"/>
          <w:color w:val="auto"/>
          <w:spacing w:val="0"/>
          <w:sz w:val="32"/>
          <w:szCs w:val="32"/>
          <w:highlight w:val="none"/>
          <w:u w:val="none"/>
          <w:shd w:val="clear" w:color="auto" w:fill="FFFFFF"/>
        </w:rPr>
        <w:t>万吨，</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w:t>
      </w:r>
      <w:r>
        <w:rPr>
          <w:rFonts w:hint="eastAsia" w:ascii="仿宋_GB2312" w:hAnsi="仿宋_GB2312" w:eastAsia="仿宋_GB2312" w:cs="仿宋_GB2312"/>
          <w:i w:val="0"/>
          <w:caps w:val="0"/>
          <w:color w:val="auto"/>
          <w:spacing w:val="0"/>
          <w:sz w:val="32"/>
          <w:szCs w:val="32"/>
          <w:highlight w:val="none"/>
          <w:u w:val="none"/>
          <w:shd w:val="clear" w:color="auto" w:fill="FFFFFF"/>
        </w:rPr>
        <w:t>产</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0.23</w:t>
      </w:r>
      <w:r>
        <w:rPr>
          <w:rFonts w:hint="eastAsia" w:ascii="仿宋_GB2312" w:hAnsi="仿宋_GB2312" w:eastAsia="仿宋_GB2312" w:cs="仿宋_GB2312"/>
          <w:i w:val="0"/>
          <w:caps w:val="0"/>
          <w:color w:val="auto"/>
          <w:spacing w:val="0"/>
          <w:sz w:val="32"/>
          <w:szCs w:val="32"/>
          <w:highlight w:val="none"/>
          <w:u w:val="none"/>
          <w:shd w:val="clear" w:color="auto" w:fill="FFFFFF"/>
        </w:rPr>
        <w:t>万吨；秋粮产量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172.69</w:t>
      </w:r>
      <w:r>
        <w:rPr>
          <w:rFonts w:hint="eastAsia" w:ascii="仿宋_GB2312" w:hAnsi="仿宋_GB2312" w:eastAsia="仿宋_GB2312" w:cs="仿宋_GB2312"/>
          <w:i w:val="0"/>
          <w:caps w:val="0"/>
          <w:color w:val="auto"/>
          <w:spacing w:val="0"/>
          <w:sz w:val="32"/>
          <w:szCs w:val="32"/>
          <w:highlight w:val="none"/>
          <w:u w:val="none"/>
          <w:shd w:val="clear" w:color="auto" w:fill="FFFFFF"/>
        </w:rPr>
        <w:t>万吨，</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减产0.67</w:t>
      </w:r>
      <w:r>
        <w:rPr>
          <w:rFonts w:hint="eastAsia" w:ascii="仿宋_GB2312" w:hAnsi="仿宋_GB2312" w:eastAsia="仿宋_GB2312" w:cs="仿宋_GB2312"/>
          <w:i w:val="0"/>
          <w:caps w:val="0"/>
          <w:color w:val="auto"/>
          <w:spacing w:val="0"/>
          <w:sz w:val="32"/>
          <w:szCs w:val="32"/>
          <w:highlight w:val="none"/>
          <w:u w:val="none"/>
          <w:shd w:val="clear" w:color="auto" w:fill="FFFFFF"/>
        </w:rPr>
        <w:t>万吨。油料产量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21.7</w:t>
      </w:r>
      <w:r>
        <w:rPr>
          <w:rFonts w:hint="eastAsia" w:ascii="仿宋_GB2312" w:hAnsi="仿宋_GB2312" w:eastAsia="仿宋_GB2312" w:cs="仿宋_GB2312"/>
          <w:i w:val="0"/>
          <w:caps w:val="0"/>
          <w:color w:val="auto"/>
          <w:spacing w:val="0"/>
          <w:sz w:val="32"/>
          <w:szCs w:val="32"/>
          <w:highlight w:val="none"/>
          <w:u w:val="none"/>
          <w:shd w:val="clear" w:color="auto" w:fill="FFFFFF"/>
        </w:rPr>
        <w:t>万吨，增产</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1.3</w:t>
      </w:r>
      <w:r>
        <w:rPr>
          <w:rFonts w:hint="eastAsia" w:ascii="仿宋_GB2312" w:hAnsi="仿宋_GB2312" w:eastAsia="仿宋_GB2312" w:cs="仿宋_GB2312"/>
          <w:i w:val="0"/>
          <w:caps w:val="0"/>
          <w:color w:val="auto"/>
          <w:spacing w:val="0"/>
          <w:sz w:val="32"/>
          <w:szCs w:val="32"/>
          <w:highlight w:val="none"/>
          <w:u w:val="none"/>
          <w:shd w:val="clear" w:color="auto" w:fill="FFFFFF"/>
        </w:rPr>
        <w:t>%。蔬菜及食用菌产量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499.9</w:t>
      </w:r>
      <w:r>
        <w:rPr>
          <w:rFonts w:hint="eastAsia" w:ascii="仿宋_GB2312" w:hAnsi="仿宋_GB2312" w:eastAsia="仿宋_GB2312" w:cs="仿宋_GB2312"/>
          <w:i w:val="0"/>
          <w:caps w:val="0"/>
          <w:color w:val="auto"/>
          <w:spacing w:val="0"/>
          <w:sz w:val="32"/>
          <w:szCs w:val="32"/>
          <w:highlight w:val="none"/>
          <w:u w:val="none"/>
          <w:shd w:val="clear" w:color="auto" w:fill="FFFFFF"/>
        </w:rPr>
        <w:t>万吨，增产</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3.2</w:t>
      </w:r>
      <w:r>
        <w:rPr>
          <w:rFonts w:hint="eastAsia" w:ascii="仿宋_GB2312" w:hAnsi="仿宋_GB2312" w:eastAsia="仿宋_GB2312" w:cs="仿宋_GB2312"/>
          <w:i w:val="0"/>
          <w:caps w:val="0"/>
          <w:color w:val="auto"/>
          <w:spacing w:val="0"/>
          <w:sz w:val="32"/>
          <w:szCs w:val="32"/>
          <w:highlight w:val="none"/>
          <w:u w:val="none"/>
          <w:shd w:val="clear" w:color="auto" w:fill="FFFFFF"/>
        </w:rPr>
        <w:t>%。园林水果产量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37.9</w:t>
      </w:r>
      <w:r>
        <w:rPr>
          <w:rFonts w:hint="eastAsia" w:ascii="仿宋_GB2312" w:hAnsi="仿宋_GB2312" w:eastAsia="仿宋_GB2312" w:cs="仿宋_GB2312"/>
          <w:i w:val="0"/>
          <w:caps w:val="0"/>
          <w:color w:val="auto"/>
          <w:spacing w:val="0"/>
          <w:sz w:val="32"/>
          <w:szCs w:val="32"/>
          <w:highlight w:val="none"/>
          <w:u w:val="none"/>
          <w:shd w:val="clear" w:color="auto" w:fill="FFFFFF"/>
        </w:rPr>
        <w:t>万吨，减产</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1.9</w:t>
      </w:r>
      <w:r>
        <w:rPr>
          <w:rFonts w:hint="eastAsia" w:ascii="仿宋_GB2312" w:hAnsi="仿宋_GB2312" w:eastAsia="仿宋_GB2312" w:cs="仿宋_GB2312"/>
          <w:i w:val="0"/>
          <w:caps w:val="0"/>
          <w:color w:val="auto"/>
          <w:spacing w:val="0"/>
          <w:sz w:val="32"/>
          <w:szCs w:val="32"/>
          <w:highlight w:val="none"/>
          <w:u w:val="none"/>
          <w:shd w:val="clear" w:color="auto" w:fill="FFFFFF"/>
        </w:rPr>
        <w:t>%。中草药产量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612.8万</w:t>
      </w:r>
      <w:r>
        <w:rPr>
          <w:rFonts w:hint="eastAsia" w:ascii="仿宋_GB2312" w:hAnsi="仿宋_GB2312" w:eastAsia="仿宋_GB2312" w:cs="仿宋_GB2312"/>
          <w:i w:val="0"/>
          <w:caps w:val="0"/>
          <w:color w:val="auto"/>
          <w:spacing w:val="0"/>
          <w:sz w:val="32"/>
          <w:szCs w:val="32"/>
          <w:highlight w:val="none"/>
          <w:u w:val="none"/>
          <w:shd w:val="clear" w:color="auto" w:fill="FFFFFF"/>
        </w:rPr>
        <w:t>吨，</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减</w:t>
      </w:r>
      <w:r>
        <w:rPr>
          <w:rFonts w:hint="eastAsia" w:ascii="仿宋_GB2312" w:hAnsi="仿宋_GB2312" w:eastAsia="仿宋_GB2312" w:cs="仿宋_GB2312"/>
          <w:i w:val="0"/>
          <w:caps w:val="0"/>
          <w:color w:val="auto"/>
          <w:spacing w:val="0"/>
          <w:sz w:val="32"/>
          <w:szCs w:val="32"/>
          <w:highlight w:val="none"/>
          <w:u w:val="none"/>
          <w:shd w:val="clear" w:color="auto" w:fill="FFFFFF"/>
        </w:rPr>
        <w:t>产</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29</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2031C3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 w:lineRule="atLeast"/>
        <w:ind w:right="0" w:firstLine="640" w:firstLineChars="200"/>
        <w:jc w:val="both"/>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全年全市猪牛羊禽肉产量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33.62</w:t>
      </w:r>
      <w:r>
        <w:rPr>
          <w:rFonts w:hint="eastAsia" w:ascii="仿宋_GB2312" w:hAnsi="仿宋_GB2312" w:eastAsia="仿宋_GB2312" w:cs="仿宋_GB2312"/>
          <w:i w:val="0"/>
          <w:caps w:val="0"/>
          <w:color w:val="auto"/>
          <w:spacing w:val="0"/>
          <w:sz w:val="32"/>
          <w:szCs w:val="32"/>
          <w:highlight w:val="none"/>
          <w:u w:val="none"/>
          <w:shd w:val="clear" w:color="auto" w:fill="FFFFFF"/>
        </w:rPr>
        <w:t>万吨，比上年增长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10.4</w:t>
      </w:r>
      <w:r>
        <w:rPr>
          <w:rFonts w:hint="eastAsia" w:ascii="仿宋_GB2312" w:hAnsi="仿宋_GB2312" w:eastAsia="仿宋_GB2312" w:cs="仿宋_GB2312"/>
          <w:i w:val="0"/>
          <w:caps w:val="0"/>
          <w:color w:val="auto"/>
          <w:spacing w:val="0"/>
          <w:sz w:val="32"/>
          <w:szCs w:val="32"/>
          <w:highlight w:val="none"/>
          <w:u w:val="none"/>
          <w:shd w:val="clear" w:color="auto" w:fill="FFFFFF"/>
        </w:rPr>
        <w:t>%。</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其中，猪肉产量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21.01万吨，增长12.1%；牛肉产量0.47吨，增长1.5%；羊肉产量0.59吨，下降15.9%；禽肉产量11.55万吨，增长9.4%。</w:t>
      </w:r>
      <w:r>
        <w:rPr>
          <w:rFonts w:hint="eastAsia" w:ascii="仿宋_GB2312" w:hAnsi="仿宋_GB2312" w:eastAsia="仿宋_GB2312" w:cs="仿宋_GB2312"/>
          <w:i w:val="0"/>
          <w:caps w:val="0"/>
          <w:color w:val="auto"/>
          <w:spacing w:val="0"/>
          <w:sz w:val="32"/>
          <w:szCs w:val="32"/>
          <w:highlight w:val="none"/>
          <w:u w:val="none"/>
          <w:shd w:val="clear" w:color="auto" w:fill="FFFFFF"/>
        </w:rPr>
        <w:t>禽蛋产量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15.16</w:t>
      </w:r>
      <w:r>
        <w:rPr>
          <w:rFonts w:hint="eastAsia" w:ascii="仿宋_GB2312" w:hAnsi="仿宋_GB2312" w:eastAsia="仿宋_GB2312" w:cs="仿宋_GB2312"/>
          <w:i w:val="0"/>
          <w:caps w:val="0"/>
          <w:color w:val="auto"/>
          <w:spacing w:val="0"/>
          <w:sz w:val="32"/>
          <w:szCs w:val="32"/>
          <w:highlight w:val="none"/>
          <w:u w:val="none"/>
          <w:shd w:val="clear" w:color="auto" w:fill="FFFFFF"/>
        </w:rPr>
        <w:t>万吨，下降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5.9</w:t>
      </w:r>
      <w:r>
        <w:rPr>
          <w:rFonts w:hint="eastAsia" w:ascii="仿宋_GB2312" w:hAnsi="仿宋_GB2312" w:eastAsia="仿宋_GB2312" w:cs="仿宋_GB2312"/>
          <w:i w:val="0"/>
          <w:caps w:val="0"/>
          <w:color w:val="auto"/>
          <w:spacing w:val="0"/>
          <w:sz w:val="32"/>
          <w:szCs w:val="32"/>
          <w:highlight w:val="none"/>
          <w:u w:val="none"/>
          <w:shd w:val="clear" w:color="auto" w:fill="FFFFFF"/>
        </w:rPr>
        <w:t>%；牛奶产量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10.83</w:t>
      </w:r>
      <w:r>
        <w:rPr>
          <w:rFonts w:hint="eastAsia" w:ascii="仿宋_GB2312" w:hAnsi="仿宋_GB2312" w:eastAsia="仿宋_GB2312" w:cs="仿宋_GB2312"/>
          <w:i w:val="0"/>
          <w:caps w:val="0"/>
          <w:color w:val="auto"/>
          <w:spacing w:val="0"/>
          <w:sz w:val="32"/>
          <w:szCs w:val="32"/>
          <w:highlight w:val="none"/>
          <w:u w:val="none"/>
          <w:shd w:val="clear" w:color="auto" w:fill="FFFFFF"/>
        </w:rPr>
        <w:t>万吨，</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下降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3.8</w:t>
      </w:r>
      <w:r>
        <w:rPr>
          <w:rFonts w:hint="eastAsia" w:ascii="仿宋_GB2312" w:hAnsi="仿宋_GB2312" w:eastAsia="仿宋_GB2312" w:cs="仿宋_GB2312"/>
          <w:i w:val="0"/>
          <w:caps w:val="0"/>
          <w:color w:val="auto"/>
          <w:spacing w:val="0"/>
          <w:sz w:val="32"/>
          <w:szCs w:val="32"/>
          <w:highlight w:val="none"/>
          <w:u w:val="none"/>
          <w:shd w:val="clear" w:color="auto" w:fill="FFFFFF"/>
        </w:rPr>
        <w:t>%。年末生猪存栏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183.70</w:t>
      </w:r>
      <w:r>
        <w:rPr>
          <w:rFonts w:hint="eastAsia" w:ascii="仿宋_GB2312" w:hAnsi="仿宋_GB2312" w:eastAsia="仿宋_GB2312" w:cs="仿宋_GB2312"/>
          <w:i w:val="0"/>
          <w:caps w:val="0"/>
          <w:color w:val="auto"/>
          <w:spacing w:val="0"/>
          <w:sz w:val="32"/>
          <w:szCs w:val="32"/>
          <w:highlight w:val="none"/>
          <w:u w:val="none"/>
          <w:shd w:val="clear" w:color="auto" w:fill="FFFFFF"/>
        </w:rPr>
        <w:t>万头，</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下降3.0</w:t>
      </w:r>
      <w:r>
        <w:rPr>
          <w:rFonts w:hint="eastAsia" w:ascii="仿宋_GB2312" w:hAnsi="仿宋_GB2312" w:eastAsia="仿宋_GB2312" w:cs="仿宋_GB2312"/>
          <w:i w:val="0"/>
          <w:caps w:val="0"/>
          <w:color w:val="auto"/>
          <w:spacing w:val="0"/>
          <w:sz w:val="32"/>
          <w:szCs w:val="32"/>
          <w:highlight w:val="none"/>
          <w:u w:val="none"/>
          <w:shd w:val="clear" w:color="auto" w:fill="FFFFFF"/>
        </w:rPr>
        <w:t>%，其中，能繁母猪存栏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17.32</w:t>
      </w:r>
      <w:r>
        <w:rPr>
          <w:rFonts w:hint="eastAsia" w:ascii="仿宋_GB2312" w:hAnsi="仿宋_GB2312" w:eastAsia="仿宋_GB2312" w:cs="仿宋_GB2312"/>
          <w:i w:val="0"/>
          <w:caps w:val="0"/>
          <w:color w:val="auto"/>
          <w:spacing w:val="0"/>
          <w:sz w:val="32"/>
          <w:szCs w:val="32"/>
          <w:highlight w:val="none"/>
          <w:u w:val="none"/>
          <w:shd w:val="clear" w:color="auto" w:fill="FFFFFF"/>
        </w:rPr>
        <w:t>万头，</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0.4</w:t>
      </w:r>
      <w:r>
        <w:rPr>
          <w:rFonts w:hint="eastAsia" w:ascii="仿宋_GB2312" w:hAnsi="仿宋_GB2312" w:eastAsia="仿宋_GB2312" w:cs="仿宋_GB2312"/>
          <w:i w:val="0"/>
          <w:caps w:val="0"/>
          <w:color w:val="auto"/>
          <w:spacing w:val="0"/>
          <w:sz w:val="32"/>
          <w:szCs w:val="32"/>
          <w:highlight w:val="none"/>
          <w:u w:val="none"/>
          <w:shd w:val="clear" w:color="auto" w:fill="FFFFFF"/>
        </w:rPr>
        <w:t>%；全年生猪出栏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260.83</w:t>
      </w:r>
      <w:r>
        <w:rPr>
          <w:rFonts w:hint="eastAsia" w:ascii="仿宋_GB2312" w:hAnsi="仿宋_GB2312" w:eastAsia="仿宋_GB2312" w:cs="仿宋_GB2312"/>
          <w:i w:val="0"/>
          <w:caps w:val="0"/>
          <w:color w:val="auto"/>
          <w:spacing w:val="0"/>
          <w:sz w:val="32"/>
          <w:szCs w:val="32"/>
          <w:highlight w:val="none"/>
          <w:u w:val="none"/>
          <w:shd w:val="clear" w:color="auto" w:fill="FFFFFF"/>
        </w:rPr>
        <w:t>万头，增长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7.6</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5794EB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jc w:val="center"/>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三、工业和建筑业</w:t>
      </w:r>
    </w:p>
    <w:p w14:paraId="1D7253B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firstLine="640" w:firstLineChars="200"/>
        <w:jc w:val="both"/>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全年全市规模以上工业增加值比上年增长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7.3</w:t>
      </w:r>
      <w:r>
        <w:rPr>
          <w:rFonts w:hint="eastAsia" w:ascii="仿宋_GB2312" w:hAnsi="仿宋_GB2312" w:eastAsia="仿宋_GB2312" w:cs="仿宋_GB2312"/>
          <w:i w:val="0"/>
          <w:caps w:val="0"/>
          <w:color w:val="auto"/>
          <w:spacing w:val="0"/>
          <w:sz w:val="32"/>
          <w:szCs w:val="32"/>
          <w:highlight w:val="none"/>
          <w:u w:val="none"/>
          <w:shd w:val="clear" w:color="auto" w:fill="FFFFFF"/>
        </w:rPr>
        <w:t>%。分经济类型看，国有控股企业增加值增长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5.1</w:t>
      </w:r>
      <w:r>
        <w:rPr>
          <w:rFonts w:hint="eastAsia" w:ascii="仿宋_GB2312" w:hAnsi="仿宋_GB2312" w:eastAsia="仿宋_GB2312" w:cs="仿宋_GB2312"/>
          <w:i w:val="0"/>
          <w:caps w:val="0"/>
          <w:color w:val="auto"/>
          <w:spacing w:val="0"/>
          <w:sz w:val="32"/>
          <w:szCs w:val="32"/>
          <w:highlight w:val="none"/>
          <w:u w:val="none"/>
          <w:shd w:val="clear" w:color="auto" w:fill="FFFFFF"/>
        </w:rPr>
        <w:t>%；股份制企业增加值增长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7.6</w:t>
      </w:r>
      <w:r>
        <w:rPr>
          <w:rFonts w:hint="eastAsia" w:ascii="仿宋_GB2312" w:hAnsi="仿宋_GB2312" w:eastAsia="仿宋_GB2312" w:cs="仿宋_GB2312"/>
          <w:i w:val="0"/>
          <w:caps w:val="0"/>
          <w:color w:val="auto"/>
          <w:spacing w:val="0"/>
          <w:sz w:val="32"/>
          <w:szCs w:val="32"/>
          <w:highlight w:val="none"/>
          <w:u w:val="none"/>
          <w:shd w:val="clear" w:color="auto" w:fill="FFFFFF"/>
        </w:rPr>
        <w:t>%，外商及港澳台商投资企业增加值增长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0.4</w:t>
      </w:r>
      <w:r>
        <w:rPr>
          <w:rFonts w:hint="eastAsia" w:ascii="仿宋_GB2312" w:hAnsi="仿宋_GB2312" w:eastAsia="仿宋_GB2312" w:cs="仿宋_GB2312"/>
          <w:i w:val="0"/>
          <w:caps w:val="0"/>
          <w:color w:val="auto"/>
          <w:spacing w:val="0"/>
          <w:sz w:val="32"/>
          <w:szCs w:val="32"/>
          <w:highlight w:val="none"/>
          <w:u w:val="none"/>
          <w:shd w:val="clear" w:color="auto" w:fill="FFFFFF"/>
        </w:rPr>
        <w:t>%。分门类看，采矿业增加值增长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3.7</w:t>
      </w:r>
      <w:r>
        <w:rPr>
          <w:rFonts w:hint="eastAsia" w:ascii="仿宋_GB2312" w:hAnsi="仿宋_GB2312" w:eastAsia="仿宋_GB2312" w:cs="仿宋_GB2312"/>
          <w:i w:val="0"/>
          <w:caps w:val="0"/>
          <w:color w:val="auto"/>
          <w:spacing w:val="0"/>
          <w:sz w:val="32"/>
          <w:szCs w:val="32"/>
          <w:highlight w:val="none"/>
          <w:u w:val="none"/>
          <w:shd w:val="clear" w:color="auto" w:fill="FFFFFF"/>
        </w:rPr>
        <w:t>%，制造业增加值增长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8.9</w:t>
      </w:r>
      <w:r>
        <w:rPr>
          <w:rFonts w:hint="eastAsia" w:ascii="仿宋_GB2312" w:hAnsi="仿宋_GB2312" w:eastAsia="仿宋_GB2312" w:cs="仿宋_GB2312"/>
          <w:i w:val="0"/>
          <w:caps w:val="0"/>
          <w:color w:val="auto"/>
          <w:spacing w:val="0"/>
          <w:sz w:val="32"/>
          <w:szCs w:val="32"/>
          <w:highlight w:val="none"/>
          <w:u w:val="none"/>
          <w:shd w:val="clear" w:color="auto" w:fill="FFFFFF"/>
        </w:rPr>
        <w:t>%，电力、热力、燃气及水的生产和供应业增加值</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下降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0.9</w:t>
      </w:r>
      <w:r>
        <w:rPr>
          <w:rFonts w:hint="eastAsia" w:ascii="仿宋_GB2312" w:hAnsi="仿宋_GB2312" w:eastAsia="仿宋_GB2312" w:cs="仿宋_GB2312"/>
          <w:i w:val="0"/>
          <w:caps w:val="0"/>
          <w:color w:val="auto"/>
          <w:spacing w:val="0"/>
          <w:sz w:val="32"/>
          <w:szCs w:val="32"/>
          <w:highlight w:val="none"/>
          <w:u w:val="none"/>
          <w:shd w:val="clear" w:color="auto" w:fill="FFFFFF"/>
        </w:rPr>
        <w:t>%。全年规模以上工业中，传统产业增加值增长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8</w:t>
      </w:r>
      <w:r>
        <w:rPr>
          <w:rFonts w:hint="eastAsia" w:ascii="仿宋_GB2312" w:hAnsi="仿宋_GB2312" w:eastAsia="仿宋_GB2312" w:cs="仿宋_GB2312"/>
          <w:i w:val="0"/>
          <w:caps w:val="0"/>
          <w:color w:val="auto"/>
          <w:spacing w:val="0"/>
          <w:sz w:val="32"/>
          <w:szCs w:val="32"/>
          <w:highlight w:val="none"/>
          <w:u w:val="none"/>
          <w:shd w:val="clear" w:color="auto" w:fill="FFFFFF"/>
        </w:rPr>
        <w:t>.1%；战略性新兴产业增长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20.3</w:t>
      </w:r>
      <w:r>
        <w:rPr>
          <w:rFonts w:hint="eastAsia" w:ascii="仿宋_GB2312" w:hAnsi="仿宋_GB2312" w:eastAsia="仿宋_GB2312" w:cs="仿宋_GB2312"/>
          <w:i w:val="0"/>
          <w:caps w:val="0"/>
          <w:color w:val="auto"/>
          <w:spacing w:val="0"/>
          <w:sz w:val="32"/>
          <w:szCs w:val="32"/>
          <w:highlight w:val="none"/>
          <w:u w:val="none"/>
          <w:shd w:val="clear" w:color="auto" w:fill="FFFFFF"/>
        </w:rPr>
        <w:t>%；高新技术产业增长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14.0</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6380E5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firstLine="640" w:firstLineChars="200"/>
        <w:jc w:val="both"/>
        <w:rPr>
          <w:rFonts w:hint="default" w:ascii="仿宋_GB2312" w:hAnsi="宋体" w:eastAsia="仿宋_GB2312" w:cs="仿宋_GB2312"/>
          <w:i w:val="0"/>
          <w:iCs w:val="0"/>
          <w:caps w:val="0"/>
          <w:color w:val="000000"/>
          <w:spacing w:val="0"/>
          <w:kern w:val="0"/>
          <w:sz w:val="32"/>
          <w:szCs w:val="32"/>
          <w:highlight w:val="none"/>
          <w:u w:val="none"/>
          <w:lang w:val="en-US" w:eastAsia="zh-CN" w:bidi="ar"/>
        </w:rPr>
      </w:pPr>
      <w:r>
        <w:rPr>
          <w:rFonts w:hint="eastAsia" w:ascii="仿宋_GB2312" w:hAnsi="宋体" w:eastAsia="仿宋_GB2312" w:cs="仿宋_GB2312"/>
          <w:i w:val="0"/>
          <w:iCs w:val="0"/>
          <w:caps w:val="0"/>
          <w:color w:val="000000"/>
          <w:spacing w:val="0"/>
          <w:kern w:val="0"/>
          <w:sz w:val="32"/>
          <w:szCs w:val="32"/>
          <w:highlight w:val="none"/>
          <w:u w:val="none"/>
          <w:lang w:val="en-US" w:eastAsia="zh-CN" w:bidi="ar"/>
        </w:rPr>
        <w:t>年末全市发电装机容量（不含储能）1111.81万千瓦，比上年末增长14.8%。其中，火电装机容量324.7万千瓦，增长0.8%；水电装机容量3.28万千瓦，无变化；风电装机容量323.43万千瓦，增长18.3%；太阳能发电装机容量460.4万千瓦，增长24.6%。</w:t>
      </w:r>
      <w:r>
        <w:rPr>
          <w:rFonts w:hint="default" w:ascii="仿宋_GB2312" w:hAnsi="宋体" w:eastAsia="仿宋_GB2312" w:cs="仿宋_GB2312"/>
          <w:i w:val="0"/>
          <w:iCs w:val="0"/>
          <w:caps w:val="0"/>
          <w:color w:val="000000"/>
          <w:spacing w:val="0"/>
          <w:kern w:val="0"/>
          <w:sz w:val="32"/>
          <w:szCs w:val="32"/>
          <w:highlight w:val="none"/>
          <w:u w:val="none"/>
          <w:lang w:val="en-US" w:eastAsia="zh-CN" w:bidi="ar"/>
        </w:rPr>
        <w:t>全年规模以上工业发电量210.65亿千瓦时，比上年增长0.2%。其中，清洁可再生电力（风电、光电）发电量67.03亿千瓦时，增长12.3%，占规模以上工业发电量的比重为31.8%。</w:t>
      </w:r>
    </w:p>
    <w:p w14:paraId="579728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firstLine="640" w:firstLineChars="200"/>
        <w:jc w:val="both"/>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全年全市总承包和专业承包资质建筑业企业完成建筑业总产值</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1039.45</w:t>
      </w:r>
      <w:r>
        <w:rPr>
          <w:rFonts w:hint="eastAsia" w:ascii="仿宋_GB2312" w:hAnsi="仿宋_GB2312" w:eastAsia="仿宋_GB2312" w:cs="仿宋_GB2312"/>
          <w:i w:val="0"/>
          <w:caps w:val="0"/>
          <w:color w:val="auto"/>
          <w:spacing w:val="0"/>
          <w:sz w:val="32"/>
          <w:szCs w:val="32"/>
          <w:highlight w:val="none"/>
          <w:u w:val="none"/>
          <w:shd w:val="clear" w:color="auto" w:fill="FFFFFF"/>
        </w:rPr>
        <w:t>亿元，比上年增长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2.8</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57D28C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firstLine="640" w:firstLineChars="200"/>
        <w:jc w:val="both"/>
        <w:rPr>
          <w:rFonts w:hint="eastAsia" w:ascii="仿宋_GB2312" w:hAnsi="宋体" w:eastAsia="仿宋_GB2312" w:cs="仿宋_GB2312"/>
          <w:i w:val="0"/>
          <w:iCs w:val="0"/>
          <w:caps w:val="0"/>
          <w:color w:val="000000"/>
          <w:spacing w:val="0"/>
          <w:kern w:val="0"/>
          <w:sz w:val="32"/>
          <w:szCs w:val="32"/>
          <w:highlight w:val="none"/>
          <w:u w:val="none"/>
          <w:lang w:val="en-US" w:eastAsia="zh-CN" w:bidi="ar"/>
        </w:rPr>
      </w:pPr>
    </w:p>
    <w:p w14:paraId="5B6DEE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firstLine="643" w:firstLineChars="200"/>
        <w:jc w:val="both"/>
        <w:rPr>
          <w:rFonts w:hint="eastAsia" w:ascii="仿宋_GB2312" w:hAnsi="宋体" w:eastAsia="仿宋_GB2312" w:cs="仿宋_GB2312"/>
          <w:b/>
          <w:bCs/>
          <w:i w:val="0"/>
          <w:iCs w:val="0"/>
          <w:caps w:val="0"/>
          <w:color w:val="000000"/>
          <w:spacing w:val="0"/>
          <w:kern w:val="0"/>
          <w:sz w:val="32"/>
          <w:szCs w:val="32"/>
          <w:highlight w:val="none"/>
          <w:u w:val="none"/>
          <w:lang w:val="en-US" w:eastAsia="zh-CN" w:bidi="ar"/>
        </w:rPr>
      </w:pPr>
      <w:r>
        <w:rPr>
          <w:rFonts w:hint="eastAsia" w:ascii="仿宋_GB2312" w:hAnsi="宋体" w:eastAsia="仿宋_GB2312" w:cs="仿宋_GB2312"/>
          <w:b/>
          <w:bCs/>
          <w:i w:val="0"/>
          <w:iCs w:val="0"/>
          <w:caps w:val="0"/>
          <w:color w:val="000000"/>
          <w:spacing w:val="0"/>
          <w:kern w:val="0"/>
          <w:sz w:val="32"/>
          <w:szCs w:val="32"/>
          <w:highlight w:val="none"/>
          <w:u w:val="none"/>
          <w:lang w:val="en-US" w:eastAsia="zh-CN" w:bidi="ar"/>
        </w:rPr>
        <w:t>表2  2025年规模以上工业主要产品产量及增长速度</w:t>
      </w:r>
    </w:p>
    <w:tbl>
      <w:tblPr>
        <w:tblStyle w:val="7"/>
        <w:tblW w:w="59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097"/>
        <w:gridCol w:w="1146"/>
        <w:gridCol w:w="1406"/>
        <w:gridCol w:w="1230"/>
        <w:gridCol w:w="64"/>
      </w:tblGrid>
      <w:tr w14:paraId="03722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3" w:hRule="atLeast"/>
          <w:jc w:val="center"/>
        </w:trPr>
        <w:tc>
          <w:tcPr>
            <w:tcW w:w="2097" w:type="dxa"/>
            <w:tcBorders>
              <w:top w:val="single" w:color="auto" w:sz="8" w:space="0"/>
              <w:left w:val="nil"/>
              <w:bottom w:val="single" w:color="000000" w:sz="8" w:space="0"/>
              <w:right w:val="single" w:color="000000" w:sz="8" w:space="0"/>
            </w:tcBorders>
            <w:shd w:val="clear" w:color="auto" w:fill="FFFFFF"/>
            <w:noWrap w:val="0"/>
            <w:vAlign w:val="bottom"/>
          </w:tcPr>
          <w:p w14:paraId="41E603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eastAsia" w:ascii="宋体" w:hAnsi="宋体" w:eastAsia="宋体" w:cs="宋体"/>
                <w:i w:val="0"/>
                <w:caps w:val="0"/>
                <w:color w:val="auto"/>
                <w:spacing w:val="0"/>
                <w:sz w:val="19"/>
                <w:szCs w:val="19"/>
              </w:rPr>
              <w:t>　</w:t>
            </w:r>
          </w:p>
        </w:tc>
        <w:tc>
          <w:tcPr>
            <w:tcW w:w="1146" w:type="dxa"/>
            <w:tcBorders>
              <w:top w:val="single" w:color="auto" w:sz="8" w:space="0"/>
              <w:left w:val="nil"/>
              <w:bottom w:val="single" w:color="000000" w:sz="8" w:space="0"/>
              <w:right w:val="single" w:color="000000" w:sz="8" w:space="0"/>
            </w:tcBorders>
            <w:shd w:val="clear" w:color="auto" w:fill="FFFFFF"/>
            <w:noWrap w:val="0"/>
            <w:vAlign w:val="center"/>
          </w:tcPr>
          <w:p w14:paraId="5DCAF5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单位</w:t>
            </w:r>
          </w:p>
        </w:tc>
        <w:tc>
          <w:tcPr>
            <w:tcW w:w="1406" w:type="dxa"/>
            <w:tcBorders>
              <w:top w:val="single" w:color="auto" w:sz="8" w:space="0"/>
              <w:left w:val="nil"/>
              <w:bottom w:val="single" w:color="000000" w:sz="8" w:space="0"/>
              <w:right w:val="single" w:color="000000" w:sz="8" w:space="0"/>
            </w:tcBorders>
            <w:shd w:val="clear" w:color="auto" w:fill="FFFFFF"/>
            <w:noWrap w:val="0"/>
            <w:vAlign w:val="center"/>
          </w:tcPr>
          <w:p w14:paraId="4E13B4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产  量</w:t>
            </w:r>
          </w:p>
        </w:tc>
        <w:tc>
          <w:tcPr>
            <w:tcW w:w="1294" w:type="dxa"/>
            <w:gridSpan w:val="2"/>
            <w:tcBorders>
              <w:top w:val="single" w:color="auto" w:sz="8" w:space="0"/>
              <w:left w:val="nil"/>
              <w:bottom w:val="single" w:color="000000" w:sz="8" w:space="0"/>
              <w:right w:val="nil"/>
            </w:tcBorders>
            <w:shd w:val="clear" w:color="auto" w:fill="FFFFFF"/>
            <w:noWrap w:val="0"/>
            <w:vAlign w:val="center"/>
          </w:tcPr>
          <w:p w14:paraId="74E8A9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增  长</w:t>
            </w:r>
          </w:p>
        </w:tc>
      </w:tr>
      <w:tr w14:paraId="44CB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27"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3C7BF4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小麦粉</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389AB6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38298061">
            <w:pPr>
              <w:keepNext w:val="0"/>
              <w:keepLines w:val="0"/>
              <w:widowControl/>
              <w:suppressLineNumbers w:val="0"/>
              <w:jc w:val="center"/>
              <w:textAlignment w:val="center"/>
              <w:rPr>
                <w:rFonts w:hint="eastAsia" w:ascii="宋体" w:hAnsi="宋体" w:eastAsia="宋体" w:cs="宋体"/>
                <w:i w:val="0"/>
                <w:caps w:val="0"/>
                <w:color w:val="auto"/>
                <w:spacing w:val="0"/>
                <w:sz w:val="19"/>
                <w:szCs w:val="19"/>
              </w:rPr>
            </w:pPr>
            <w:r>
              <w:rPr>
                <w:rFonts w:hint="eastAsia" w:ascii="宋体" w:hAnsi="宋体" w:eastAsia="宋体" w:cs="宋体"/>
                <w:i w:val="0"/>
                <w:iCs w:val="0"/>
                <w:color w:val="000000"/>
                <w:kern w:val="0"/>
                <w:sz w:val="19"/>
                <w:szCs w:val="19"/>
                <w:u w:val="none"/>
                <w:lang w:val="en-US" w:eastAsia="zh-CN" w:bidi="ar"/>
              </w:rPr>
              <w:t xml:space="preserve">1448352.1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3503F218">
            <w:pPr>
              <w:keepNext w:val="0"/>
              <w:keepLines w:val="0"/>
              <w:widowControl/>
              <w:suppressLineNumbers w:val="0"/>
              <w:jc w:val="center"/>
              <w:textAlignment w:val="center"/>
              <w:rPr>
                <w:rFonts w:hint="eastAsia" w:ascii="宋体" w:hAnsi="宋体" w:eastAsia="宋体" w:cs="宋体"/>
                <w:i w:val="0"/>
                <w:caps w:val="0"/>
                <w:color w:val="auto"/>
                <w:spacing w:val="0"/>
                <w:sz w:val="19"/>
                <w:szCs w:val="19"/>
              </w:rPr>
            </w:pPr>
            <w:r>
              <w:rPr>
                <w:rFonts w:hint="eastAsia" w:ascii="宋体" w:hAnsi="宋体" w:eastAsia="宋体" w:cs="宋体"/>
                <w:i w:val="0"/>
                <w:iCs w:val="0"/>
                <w:color w:val="000000"/>
                <w:kern w:val="0"/>
                <w:sz w:val="19"/>
                <w:szCs w:val="19"/>
                <w:u w:val="none"/>
                <w:lang w:val="en-US" w:eastAsia="zh-CN" w:bidi="ar"/>
              </w:rPr>
              <w:t xml:space="preserve">14.3  </w:t>
            </w:r>
          </w:p>
        </w:tc>
      </w:tr>
      <w:tr w14:paraId="340D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4F0769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饲料</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07F615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2C03956A">
            <w:pPr>
              <w:keepNext w:val="0"/>
              <w:keepLines w:val="0"/>
              <w:widowControl/>
              <w:suppressLineNumbers w:val="0"/>
              <w:jc w:val="center"/>
              <w:textAlignment w:val="center"/>
              <w:rPr>
                <w:rFonts w:hint="eastAsia" w:ascii="宋体" w:hAnsi="宋体" w:eastAsia="宋体" w:cs="宋体"/>
                <w:i w:val="0"/>
                <w:caps w:val="0"/>
                <w:color w:val="auto"/>
                <w:spacing w:val="0"/>
                <w:sz w:val="19"/>
                <w:szCs w:val="19"/>
              </w:rPr>
            </w:pPr>
            <w:r>
              <w:rPr>
                <w:rFonts w:hint="eastAsia" w:ascii="宋体" w:hAnsi="宋体" w:eastAsia="宋体" w:cs="宋体"/>
                <w:i w:val="0"/>
                <w:iCs w:val="0"/>
                <w:color w:val="000000"/>
                <w:kern w:val="0"/>
                <w:sz w:val="19"/>
                <w:szCs w:val="19"/>
                <w:u w:val="none"/>
                <w:lang w:val="en-US" w:eastAsia="zh-CN" w:bidi="ar"/>
              </w:rPr>
              <w:t xml:space="preserve">991479.8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20E1AFE8">
            <w:pPr>
              <w:keepNext w:val="0"/>
              <w:keepLines w:val="0"/>
              <w:widowControl/>
              <w:suppressLineNumbers w:val="0"/>
              <w:jc w:val="center"/>
              <w:textAlignment w:val="center"/>
              <w:rPr>
                <w:rFonts w:hint="eastAsia" w:ascii="宋体" w:hAnsi="宋体" w:eastAsia="宋体" w:cs="宋体"/>
                <w:i w:val="0"/>
                <w:caps w:val="0"/>
                <w:color w:val="auto"/>
                <w:spacing w:val="0"/>
                <w:sz w:val="19"/>
                <w:szCs w:val="19"/>
              </w:rPr>
            </w:pPr>
            <w:r>
              <w:rPr>
                <w:rFonts w:hint="eastAsia" w:ascii="宋体" w:hAnsi="宋体" w:eastAsia="宋体" w:cs="宋体"/>
                <w:i w:val="0"/>
                <w:iCs w:val="0"/>
                <w:color w:val="000000"/>
                <w:kern w:val="0"/>
                <w:sz w:val="19"/>
                <w:szCs w:val="19"/>
                <w:u w:val="none"/>
                <w:lang w:val="en-US" w:eastAsia="zh-CN" w:bidi="ar"/>
              </w:rPr>
              <w:t xml:space="preserve">41.4  </w:t>
            </w:r>
          </w:p>
        </w:tc>
      </w:tr>
      <w:tr w14:paraId="1693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7F36FB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精制食用植物油</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77BD5F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2E220BB9">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69222.4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3259029F">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342.7  </w:t>
            </w:r>
          </w:p>
        </w:tc>
      </w:tr>
      <w:tr w14:paraId="5186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4AC633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鲜、冷藏肉</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57E0AF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4557A497">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80573.9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2592B560">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23.9  </w:t>
            </w:r>
          </w:p>
        </w:tc>
      </w:tr>
      <w:tr w14:paraId="49E1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285F62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饮料酒</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4893FE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千升</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471AA3AD">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15524.3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2DDEE4C0">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99.6  </w:t>
            </w:r>
          </w:p>
        </w:tc>
      </w:tr>
      <w:tr w14:paraId="75F0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1E8A0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饮料</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1A5859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55E45573">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319685.9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607C2805">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-3.0  </w:t>
            </w:r>
          </w:p>
        </w:tc>
      </w:tr>
      <w:tr w14:paraId="4B02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21BDCC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卷烟</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50BBDA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万支</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524D3569">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1565373.6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561AD889">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0.1  </w:t>
            </w:r>
          </w:p>
        </w:tc>
      </w:tr>
      <w:tr w14:paraId="2E2B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602FB1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纱</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25BB75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49C6E81B">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91928.6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00A9BDDD">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-10.8  </w:t>
            </w:r>
          </w:p>
        </w:tc>
      </w:tr>
      <w:tr w14:paraId="33888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4452C0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布</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3AB9C3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万米</w:t>
            </w:r>
          </w:p>
        </w:tc>
        <w:tc>
          <w:tcPr>
            <w:tcW w:w="1406" w:type="dxa"/>
            <w:tcBorders>
              <w:top w:val="nil"/>
              <w:left w:val="nil"/>
              <w:bottom w:val="nil"/>
              <w:right w:val="nil"/>
            </w:tcBorders>
            <w:shd w:val="clear" w:color="auto" w:fill="FFFFFF"/>
            <w:noWrap w:val="0"/>
            <w:tcMar>
              <w:left w:w="108" w:type="dxa"/>
              <w:right w:w="108" w:type="dxa"/>
            </w:tcMar>
            <w:vAlign w:val="center"/>
          </w:tcPr>
          <w:p w14:paraId="4A79736E">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10965.7 </w:t>
            </w:r>
          </w:p>
        </w:tc>
        <w:tc>
          <w:tcPr>
            <w:tcW w:w="1294" w:type="dxa"/>
            <w:gridSpan w:val="2"/>
            <w:tcBorders>
              <w:top w:val="nil"/>
              <w:left w:val="single" w:color="auto" w:sz="8" w:space="0"/>
              <w:bottom w:val="nil"/>
              <w:right w:val="nil"/>
            </w:tcBorders>
            <w:shd w:val="clear" w:color="auto" w:fill="FFFFFF"/>
            <w:noWrap w:val="0"/>
            <w:tcMar>
              <w:left w:w="108" w:type="dxa"/>
              <w:right w:w="108" w:type="dxa"/>
            </w:tcMar>
            <w:vAlign w:val="center"/>
          </w:tcPr>
          <w:p w14:paraId="20433B6C">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4.2  </w:t>
            </w:r>
          </w:p>
        </w:tc>
      </w:tr>
      <w:tr w14:paraId="751B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5422A5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服装</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691331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万件</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56A95482">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3646.6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325AE44E">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13.9 </w:t>
            </w:r>
          </w:p>
        </w:tc>
      </w:tr>
      <w:tr w14:paraId="350A6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0EC0A2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家具</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074994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件</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7FC02687">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56016.0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43FDB006">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-77.9  </w:t>
            </w:r>
          </w:p>
        </w:tc>
      </w:tr>
      <w:tr w14:paraId="2AA65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1C3D7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机制纸及纸板</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0F195D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79CF8333">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16664.0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2B6788BC">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-27.9  </w:t>
            </w:r>
          </w:p>
        </w:tc>
      </w:tr>
      <w:tr w14:paraId="4C767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765068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纸制品</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42A233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5B3737A9">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38622.5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0B06DBF8">
            <w:pPr>
              <w:keepNext w:val="0"/>
              <w:keepLines w:val="0"/>
              <w:widowControl/>
              <w:suppressLineNumbers w:val="0"/>
              <w:jc w:val="center"/>
              <w:textAlignment w:val="center"/>
              <w:rPr>
                <w:rFonts w:hint="eastAsia"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31.6  </w:t>
            </w:r>
          </w:p>
        </w:tc>
      </w:tr>
      <w:tr w14:paraId="38065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46846F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eastAsia" w:ascii="宋体" w:hAnsi="宋体" w:eastAsia="宋体" w:cs="宋体"/>
                <w:i w:val="0"/>
                <w:caps w:val="0"/>
                <w:color w:val="auto"/>
                <w:spacing w:val="0"/>
                <w:sz w:val="19"/>
                <w:szCs w:val="19"/>
              </w:rPr>
              <w:t>化学</w:t>
            </w:r>
            <w:r>
              <w:rPr>
                <w:rFonts w:hint="eastAsia" w:ascii="宋体" w:hAnsi="宋体" w:cs="宋体"/>
                <w:i w:val="0"/>
                <w:caps w:val="0"/>
                <w:color w:val="auto"/>
                <w:spacing w:val="0"/>
                <w:sz w:val="19"/>
                <w:szCs w:val="19"/>
                <w:lang w:eastAsia="zh-CN"/>
              </w:rPr>
              <w:t>药品</w:t>
            </w:r>
            <w:r>
              <w:rPr>
                <w:rFonts w:hint="eastAsia" w:ascii="宋体" w:hAnsi="宋体" w:eastAsia="宋体" w:cs="宋体"/>
                <w:i w:val="0"/>
                <w:caps w:val="0"/>
                <w:color w:val="auto"/>
                <w:spacing w:val="0"/>
                <w:sz w:val="19"/>
                <w:szCs w:val="19"/>
              </w:rPr>
              <w:t>原药</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5FE082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30016E9D">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3171.2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133CAA6F">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 xml:space="preserve">67.6 </w:t>
            </w:r>
          </w:p>
        </w:tc>
      </w:tr>
      <w:tr w14:paraId="0BC15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2E8EAA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塑料制品</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5050F1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48CFEEB7">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iCs w:val="0"/>
                <w:color w:val="000000"/>
                <w:kern w:val="0"/>
                <w:sz w:val="19"/>
                <w:szCs w:val="19"/>
                <w:u w:val="none"/>
                <w:lang w:val="en-US" w:eastAsia="zh-CN" w:bidi="ar"/>
              </w:rPr>
              <w:t>6.7</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46F4E896">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iCs w:val="0"/>
                <w:color w:val="000000"/>
                <w:kern w:val="0"/>
                <w:sz w:val="19"/>
                <w:szCs w:val="19"/>
                <w:u w:val="none"/>
                <w:lang w:val="en-US" w:eastAsia="zh-CN" w:bidi="ar"/>
              </w:rPr>
              <w:t>2.9</w:t>
            </w:r>
            <w:r>
              <w:rPr>
                <w:rFonts w:hint="eastAsia" w:ascii="宋体" w:hAnsi="宋体" w:eastAsia="宋体" w:cs="宋体"/>
                <w:i w:val="0"/>
                <w:iCs w:val="0"/>
                <w:color w:val="000000"/>
                <w:kern w:val="0"/>
                <w:sz w:val="19"/>
                <w:szCs w:val="19"/>
                <w:u w:val="none"/>
                <w:lang w:val="en-US" w:eastAsia="zh-CN" w:bidi="ar"/>
              </w:rPr>
              <w:t xml:space="preserve"> </w:t>
            </w:r>
          </w:p>
        </w:tc>
      </w:tr>
      <w:tr w14:paraId="5018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20B17F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水泥</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338DC0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160EC6DB">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iCs w:val="0"/>
                <w:color w:val="000000"/>
                <w:kern w:val="0"/>
                <w:sz w:val="19"/>
                <w:szCs w:val="19"/>
                <w:u w:val="none"/>
                <w:lang w:val="en-US" w:eastAsia="zh-CN" w:bidi="ar"/>
              </w:rPr>
              <w:t>485.6</w:t>
            </w:r>
            <w:r>
              <w:rPr>
                <w:rFonts w:hint="eastAsia" w:ascii="宋体" w:hAnsi="宋体" w:eastAsia="宋体" w:cs="宋体"/>
                <w:i w:val="0"/>
                <w:iCs w:val="0"/>
                <w:color w:val="000000"/>
                <w:kern w:val="0"/>
                <w:sz w:val="19"/>
                <w:szCs w:val="19"/>
                <w:u w:val="none"/>
                <w:lang w:val="en-US" w:eastAsia="zh-CN" w:bidi="ar"/>
              </w:rPr>
              <w:t xml:space="preserve">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0882E90E">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w:t>
            </w:r>
            <w:r>
              <w:rPr>
                <w:rFonts w:hint="default" w:ascii="宋体" w:hAnsi="宋体" w:cs="宋体"/>
                <w:i w:val="0"/>
                <w:iCs w:val="0"/>
                <w:color w:val="000000"/>
                <w:kern w:val="0"/>
                <w:sz w:val="19"/>
                <w:szCs w:val="19"/>
                <w:u w:val="none"/>
                <w:lang w:val="en-US" w:eastAsia="zh-CN" w:bidi="ar"/>
              </w:rPr>
              <w:t>5.1</w:t>
            </w:r>
            <w:r>
              <w:rPr>
                <w:rFonts w:hint="eastAsia" w:ascii="宋体" w:hAnsi="宋体" w:eastAsia="宋体" w:cs="宋体"/>
                <w:i w:val="0"/>
                <w:iCs w:val="0"/>
                <w:color w:val="000000"/>
                <w:kern w:val="0"/>
                <w:sz w:val="19"/>
                <w:szCs w:val="19"/>
                <w:u w:val="none"/>
                <w:lang w:val="en-US" w:eastAsia="zh-CN" w:bidi="ar"/>
              </w:rPr>
              <w:t xml:space="preserve"> </w:t>
            </w:r>
          </w:p>
        </w:tc>
      </w:tr>
      <w:tr w14:paraId="59FA6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3"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691311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瓷质砖</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1B8CDC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万平方米</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765D74C6">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iCs w:val="0"/>
                <w:color w:val="000000"/>
                <w:kern w:val="0"/>
                <w:sz w:val="19"/>
                <w:szCs w:val="19"/>
                <w:u w:val="none"/>
                <w:lang w:val="en-US" w:eastAsia="zh-CN" w:bidi="ar"/>
              </w:rPr>
              <w:t>2852.5</w:t>
            </w:r>
            <w:r>
              <w:rPr>
                <w:rFonts w:hint="eastAsia" w:ascii="宋体" w:hAnsi="宋体" w:eastAsia="宋体" w:cs="宋体"/>
                <w:i w:val="0"/>
                <w:iCs w:val="0"/>
                <w:color w:val="000000"/>
                <w:kern w:val="0"/>
                <w:sz w:val="19"/>
                <w:szCs w:val="19"/>
                <w:u w:val="none"/>
                <w:lang w:val="en-US" w:eastAsia="zh-CN" w:bidi="ar"/>
              </w:rPr>
              <w:t xml:space="preserve"> </w:t>
            </w:r>
          </w:p>
        </w:tc>
        <w:tc>
          <w:tcPr>
            <w:tcW w:w="1294" w:type="dxa"/>
            <w:gridSpan w:val="2"/>
            <w:tcBorders>
              <w:top w:val="nil"/>
              <w:left w:val="nil"/>
              <w:bottom w:val="nil"/>
              <w:right w:val="nil"/>
            </w:tcBorders>
            <w:shd w:val="clear" w:color="auto" w:fill="FFFFFF"/>
            <w:noWrap w:val="0"/>
            <w:tcMar>
              <w:left w:w="108" w:type="dxa"/>
              <w:right w:w="108" w:type="dxa"/>
            </w:tcMar>
            <w:vAlign w:val="center"/>
          </w:tcPr>
          <w:p w14:paraId="2D2E1D67">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eastAsia" w:ascii="宋体" w:hAnsi="宋体" w:eastAsia="宋体" w:cs="宋体"/>
                <w:i w:val="0"/>
                <w:iCs w:val="0"/>
                <w:color w:val="000000"/>
                <w:kern w:val="0"/>
                <w:sz w:val="19"/>
                <w:szCs w:val="19"/>
                <w:u w:val="none"/>
                <w:lang w:val="en-US" w:eastAsia="zh-CN" w:bidi="ar"/>
              </w:rPr>
              <w:t>-</w:t>
            </w:r>
            <w:r>
              <w:rPr>
                <w:rFonts w:hint="default" w:ascii="宋体" w:hAnsi="宋体" w:cs="宋体"/>
                <w:i w:val="0"/>
                <w:iCs w:val="0"/>
                <w:color w:val="000000"/>
                <w:kern w:val="0"/>
                <w:sz w:val="19"/>
                <w:szCs w:val="19"/>
                <w:u w:val="none"/>
                <w:lang w:val="en-US" w:eastAsia="zh-CN" w:bidi="ar"/>
              </w:rPr>
              <w:t>34.8</w:t>
            </w:r>
            <w:r>
              <w:rPr>
                <w:rFonts w:hint="eastAsia" w:ascii="宋体" w:hAnsi="宋体" w:eastAsia="宋体" w:cs="宋体"/>
                <w:i w:val="0"/>
                <w:iCs w:val="0"/>
                <w:color w:val="000000"/>
                <w:kern w:val="0"/>
                <w:sz w:val="19"/>
                <w:szCs w:val="19"/>
                <w:u w:val="none"/>
                <w:lang w:val="en-US" w:eastAsia="zh-CN" w:bidi="ar"/>
              </w:rPr>
              <w:t xml:space="preserve"> </w:t>
            </w:r>
          </w:p>
        </w:tc>
      </w:tr>
      <w:tr w14:paraId="43440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9"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4CF1C9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耐火材料制品</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7742E9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3BAD2085">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177022.2</w:t>
            </w:r>
          </w:p>
        </w:tc>
        <w:tc>
          <w:tcPr>
            <w:tcW w:w="1230" w:type="dxa"/>
            <w:tcBorders>
              <w:top w:val="nil"/>
              <w:left w:val="nil"/>
              <w:bottom w:val="nil"/>
              <w:right w:val="nil"/>
            </w:tcBorders>
            <w:shd w:val="clear" w:color="auto" w:fill="FFFFFF"/>
            <w:noWrap w:val="0"/>
            <w:tcMar>
              <w:left w:w="108" w:type="dxa"/>
              <w:right w:w="108" w:type="dxa"/>
            </w:tcMar>
            <w:vAlign w:val="center"/>
          </w:tcPr>
          <w:p w14:paraId="3664A15B">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-5.2</w:t>
            </w:r>
          </w:p>
        </w:tc>
        <w:tc>
          <w:tcPr>
            <w:tcW w:w="64" w:type="dxa"/>
            <w:tcBorders>
              <w:top w:val="nil"/>
              <w:left w:val="nil"/>
              <w:bottom w:val="nil"/>
              <w:right w:val="nil"/>
            </w:tcBorders>
            <w:shd w:val="clear" w:color="auto" w:fill="FFFFFF"/>
            <w:noWrap w:val="0"/>
            <w:vAlign w:val="center"/>
          </w:tcPr>
          <w:p w14:paraId="029287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5C82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11"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63D3B6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石墨及碳素制品</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2345DC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4989B093">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209523.5</w:t>
            </w:r>
          </w:p>
        </w:tc>
        <w:tc>
          <w:tcPr>
            <w:tcW w:w="1230" w:type="dxa"/>
            <w:tcBorders>
              <w:top w:val="nil"/>
              <w:left w:val="nil"/>
              <w:bottom w:val="nil"/>
              <w:right w:val="nil"/>
            </w:tcBorders>
            <w:shd w:val="clear" w:color="auto" w:fill="FFFFFF"/>
            <w:noWrap w:val="0"/>
            <w:tcMar>
              <w:left w:w="108" w:type="dxa"/>
              <w:right w:w="108" w:type="dxa"/>
            </w:tcMar>
            <w:vAlign w:val="center"/>
          </w:tcPr>
          <w:p w14:paraId="340FFB68">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11.4</w:t>
            </w:r>
          </w:p>
        </w:tc>
        <w:tc>
          <w:tcPr>
            <w:tcW w:w="64" w:type="dxa"/>
            <w:tcBorders>
              <w:top w:val="nil"/>
              <w:left w:val="nil"/>
              <w:bottom w:val="nil"/>
              <w:right w:val="nil"/>
            </w:tcBorders>
            <w:shd w:val="clear" w:color="auto" w:fill="FFFFFF"/>
            <w:noWrap w:val="0"/>
            <w:vAlign w:val="center"/>
          </w:tcPr>
          <w:p w14:paraId="2E70F5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675B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09D3BA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生铁</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5EB7B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1F36D8D4">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1161.8</w:t>
            </w:r>
          </w:p>
        </w:tc>
        <w:tc>
          <w:tcPr>
            <w:tcW w:w="1230" w:type="dxa"/>
            <w:tcBorders>
              <w:top w:val="nil"/>
              <w:left w:val="nil"/>
              <w:bottom w:val="nil"/>
              <w:right w:val="nil"/>
            </w:tcBorders>
            <w:shd w:val="clear" w:color="auto" w:fill="FFFFFF"/>
            <w:noWrap w:val="0"/>
            <w:tcMar>
              <w:left w:w="108" w:type="dxa"/>
              <w:right w:w="108" w:type="dxa"/>
            </w:tcMar>
            <w:vAlign w:val="center"/>
          </w:tcPr>
          <w:p w14:paraId="36B7AE36">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-5.5</w:t>
            </w:r>
          </w:p>
        </w:tc>
        <w:tc>
          <w:tcPr>
            <w:tcW w:w="64" w:type="dxa"/>
            <w:tcBorders>
              <w:top w:val="nil"/>
              <w:left w:val="nil"/>
              <w:bottom w:val="nil"/>
              <w:right w:val="nil"/>
            </w:tcBorders>
            <w:shd w:val="clear" w:color="auto" w:fill="FFFFFF"/>
            <w:noWrap w:val="0"/>
            <w:vAlign w:val="center"/>
          </w:tcPr>
          <w:p w14:paraId="41C3FA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63EAB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3D57D4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粗钢</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3345C8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57B86C1A">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961.0</w:t>
            </w:r>
          </w:p>
        </w:tc>
        <w:tc>
          <w:tcPr>
            <w:tcW w:w="1230" w:type="dxa"/>
            <w:tcBorders>
              <w:top w:val="nil"/>
              <w:left w:val="nil"/>
              <w:bottom w:val="nil"/>
              <w:right w:val="nil"/>
            </w:tcBorders>
            <w:shd w:val="clear" w:color="auto" w:fill="FFFFFF"/>
            <w:noWrap w:val="0"/>
            <w:tcMar>
              <w:left w:w="108" w:type="dxa"/>
              <w:right w:w="108" w:type="dxa"/>
            </w:tcMar>
            <w:vAlign w:val="center"/>
          </w:tcPr>
          <w:p w14:paraId="651737FE">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-8.4</w:t>
            </w:r>
          </w:p>
        </w:tc>
        <w:tc>
          <w:tcPr>
            <w:tcW w:w="64" w:type="dxa"/>
            <w:tcBorders>
              <w:top w:val="nil"/>
              <w:left w:val="nil"/>
              <w:bottom w:val="nil"/>
              <w:right w:val="nil"/>
            </w:tcBorders>
            <w:shd w:val="clear" w:color="auto" w:fill="FFFFFF"/>
            <w:noWrap w:val="0"/>
            <w:vAlign w:val="center"/>
          </w:tcPr>
          <w:p w14:paraId="2AEFE9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6C13C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0B2A05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钢材</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28A0C8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1D646A0E">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1090.6</w:t>
            </w:r>
          </w:p>
        </w:tc>
        <w:tc>
          <w:tcPr>
            <w:tcW w:w="1230" w:type="dxa"/>
            <w:tcBorders>
              <w:top w:val="nil"/>
              <w:left w:val="nil"/>
              <w:bottom w:val="nil"/>
              <w:right w:val="nil"/>
            </w:tcBorders>
            <w:shd w:val="clear" w:color="auto" w:fill="FFFFFF"/>
            <w:noWrap w:val="0"/>
            <w:tcMar>
              <w:left w:w="108" w:type="dxa"/>
              <w:right w:w="108" w:type="dxa"/>
            </w:tcMar>
            <w:vAlign w:val="center"/>
          </w:tcPr>
          <w:p w14:paraId="378B111B">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-6.9</w:t>
            </w:r>
          </w:p>
        </w:tc>
        <w:tc>
          <w:tcPr>
            <w:tcW w:w="64" w:type="dxa"/>
            <w:tcBorders>
              <w:top w:val="nil"/>
              <w:left w:val="nil"/>
              <w:bottom w:val="nil"/>
              <w:right w:val="nil"/>
            </w:tcBorders>
            <w:shd w:val="clear" w:color="auto" w:fill="FFFFFF"/>
            <w:noWrap w:val="0"/>
            <w:vAlign w:val="center"/>
          </w:tcPr>
          <w:p w14:paraId="25E891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629B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3966EC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铁合金</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1A19C7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107AF9ED">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427810.7</w:t>
            </w:r>
          </w:p>
        </w:tc>
        <w:tc>
          <w:tcPr>
            <w:tcW w:w="1230" w:type="dxa"/>
            <w:tcBorders>
              <w:top w:val="nil"/>
              <w:left w:val="nil"/>
              <w:bottom w:val="nil"/>
              <w:right w:val="nil"/>
            </w:tcBorders>
            <w:shd w:val="clear" w:color="auto" w:fill="FFFFFF"/>
            <w:noWrap w:val="0"/>
            <w:tcMar>
              <w:left w:w="108" w:type="dxa"/>
              <w:right w:w="108" w:type="dxa"/>
            </w:tcMar>
            <w:vAlign w:val="center"/>
          </w:tcPr>
          <w:p w14:paraId="03172458">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1.8</w:t>
            </w:r>
          </w:p>
        </w:tc>
        <w:tc>
          <w:tcPr>
            <w:tcW w:w="64" w:type="dxa"/>
            <w:tcBorders>
              <w:top w:val="nil"/>
              <w:left w:val="nil"/>
              <w:bottom w:val="nil"/>
              <w:right w:val="nil"/>
            </w:tcBorders>
            <w:shd w:val="clear" w:color="auto" w:fill="FFFFFF"/>
            <w:noWrap w:val="0"/>
            <w:vAlign w:val="center"/>
          </w:tcPr>
          <w:p w14:paraId="128DFB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6E25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21B229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十种有色金属</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4D130E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6FD6026D">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96233.4</w:t>
            </w:r>
          </w:p>
        </w:tc>
        <w:tc>
          <w:tcPr>
            <w:tcW w:w="1230" w:type="dxa"/>
            <w:tcBorders>
              <w:top w:val="nil"/>
              <w:left w:val="nil"/>
              <w:bottom w:val="nil"/>
              <w:right w:val="nil"/>
            </w:tcBorders>
            <w:shd w:val="clear" w:color="auto" w:fill="FFFFFF"/>
            <w:noWrap w:val="0"/>
            <w:tcMar>
              <w:left w:w="108" w:type="dxa"/>
              <w:right w:w="108" w:type="dxa"/>
            </w:tcMar>
            <w:vAlign w:val="center"/>
          </w:tcPr>
          <w:p w14:paraId="1B8853D0">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-1.8</w:t>
            </w:r>
          </w:p>
        </w:tc>
        <w:tc>
          <w:tcPr>
            <w:tcW w:w="64" w:type="dxa"/>
            <w:tcBorders>
              <w:top w:val="nil"/>
              <w:left w:val="nil"/>
              <w:bottom w:val="nil"/>
              <w:right w:val="nil"/>
            </w:tcBorders>
            <w:shd w:val="clear" w:color="auto" w:fill="FFFFFF"/>
            <w:noWrap w:val="0"/>
            <w:vAlign w:val="center"/>
          </w:tcPr>
          <w:p w14:paraId="72BD6E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32FF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36A495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工业锅炉</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6D137D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蒸发量吨</w:t>
            </w:r>
          </w:p>
        </w:tc>
        <w:tc>
          <w:tcPr>
            <w:tcW w:w="1406" w:type="dxa"/>
            <w:tcBorders>
              <w:top w:val="nil"/>
              <w:left w:val="nil"/>
              <w:bottom w:val="nil"/>
              <w:right w:val="nil"/>
            </w:tcBorders>
            <w:shd w:val="clear" w:color="auto" w:fill="FFFFFF"/>
            <w:noWrap w:val="0"/>
            <w:tcMar>
              <w:left w:w="108" w:type="dxa"/>
              <w:right w:w="108" w:type="dxa"/>
            </w:tcMar>
            <w:vAlign w:val="center"/>
          </w:tcPr>
          <w:p w14:paraId="62382608">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5393.5</w:t>
            </w:r>
          </w:p>
        </w:tc>
        <w:tc>
          <w:tcPr>
            <w:tcW w:w="1230" w:type="dxa"/>
            <w:tcBorders>
              <w:top w:val="nil"/>
              <w:left w:val="single" w:color="auto" w:sz="8" w:space="0"/>
              <w:bottom w:val="nil"/>
              <w:right w:val="nil"/>
            </w:tcBorders>
            <w:shd w:val="clear" w:color="auto" w:fill="FFFFFF"/>
            <w:noWrap w:val="0"/>
            <w:tcMar>
              <w:left w:w="108" w:type="dxa"/>
              <w:right w:w="108" w:type="dxa"/>
            </w:tcMar>
            <w:vAlign w:val="center"/>
          </w:tcPr>
          <w:p w14:paraId="2132D192">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-14.3</w:t>
            </w:r>
          </w:p>
        </w:tc>
        <w:tc>
          <w:tcPr>
            <w:tcW w:w="64" w:type="dxa"/>
            <w:tcBorders>
              <w:top w:val="nil"/>
              <w:left w:val="nil"/>
              <w:bottom w:val="nil"/>
              <w:right w:val="nil"/>
            </w:tcBorders>
            <w:shd w:val="clear" w:color="auto" w:fill="FFFFFF"/>
            <w:noWrap w:val="0"/>
            <w:vAlign w:val="center"/>
          </w:tcPr>
          <w:p w14:paraId="0ACC55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2B8FE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3D67B5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金属切削机床</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1A863C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台</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666BCE1B">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825.0</w:t>
            </w:r>
          </w:p>
        </w:tc>
        <w:tc>
          <w:tcPr>
            <w:tcW w:w="1230" w:type="dxa"/>
            <w:tcBorders>
              <w:top w:val="nil"/>
              <w:left w:val="nil"/>
              <w:bottom w:val="nil"/>
              <w:right w:val="nil"/>
            </w:tcBorders>
            <w:shd w:val="clear" w:color="auto" w:fill="FFFFFF"/>
            <w:noWrap w:val="0"/>
            <w:tcMar>
              <w:left w:w="108" w:type="dxa"/>
              <w:right w:w="108" w:type="dxa"/>
            </w:tcMar>
            <w:vAlign w:val="center"/>
          </w:tcPr>
          <w:p w14:paraId="22E2AB31">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-0.1</w:t>
            </w:r>
          </w:p>
        </w:tc>
        <w:tc>
          <w:tcPr>
            <w:tcW w:w="64" w:type="dxa"/>
            <w:tcBorders>
              <w:top w:val="nil"/>
              <w:left w:val="nil"/>
              <w:bottom w:val="nil"/>
              <w:right w:val="nil"/>
            </w:tcBorders>
            <w:shd w:val="clear" w:color="auto" w:fill="FFFFFF"/>
            <w:noWrap w:val="0"/>
            <w:vAlign w:val="center"/>
          </w:tcPr>
          <w:p w14:paraId="414267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435C9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733D7A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矿山专用设备</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6CC8A9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12A9B97D">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126086.0</w:t>
            </w:r>
          </w:p>
        </w:tc>
        <w:tc>
          <w:tcPr>
            <w:tcW w:w="1230" w:type="dxa"/>
            <w:tcBorders>
              <w:top w:val="nil"/>
              <w:left w:val="nil"/>
              <w:bottom w:val="nil"/>
              <w:right w:val="nil"/>
            </w:tcBorders>
            <w:shd w:val="clear" w:color="auto" w:fill="FFFFFF"/>
            <w:noWrap w:val="0"/>
            <w:tcMar>
              <w:left w:w="108" w:type="dxa"/>
              <w:right w:w="108" w:type="dxa"/>
            </w:tcMar>
            <w:vAlign w:val="center"/>
          </w:tcPr>
          <w:p w14:paraId="3AD3FE8C">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5.5</w:t>
            </w:r>
          </w:p>
        </w:tc>
        <w:tc>
          <w:tcPr>
            <w:tcW w:w="64" w:type="dxa"/>
            <w:tcBorders>
              <w:top w:val="nil"/>
              <w:left w:val="nil"/>
              <w:bottom w:val="nil"/>
              <w:right w:val="nil"/>
            </w:tcBorders>
            <w:shd w:val="clear" w:color="auto" w:fill="FFFFFF"/>
            <w:noWrap w:val="0"/>
            <w:vAlign w:val="center"/>
          </w:tcPr>
          <w:p w14:paraId="2B013F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0E980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10E1EF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eastAsia" w:ascii="宋体" w:hAnsi="宋体" w:eastAsia="宋体" w:cs="宋体"/>
                <w:i w:val="0"/>
                <w:caps w:val="0"/>
                <w:color w:val="auto"/>
                <w:spacing w:val="0"/>
                <w:sz w:val="19"/>
                <w:szCs w:val="19"/>
              </w:rPr>
              <w:t>原煤</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674631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0D4EA8FE">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221.4</w:t>
            </w:r>
          </w:p>
        </w:tc>
        <w:tc>
          <w:tcPr>
            <w:tcW w:w="1230" w:type="dxa"/>
            <w:tcBorders>
              <w:top w:val="nil"/>
              <w:left w:val="nil"/>
              <w:bottom w:val="nil"/>
              <w:right w:val="nil"/>
            </w:tcBorders>
            <w:shd w:val="clear" w:color="auto" w:fill="FFFFFF"/>
            <w:noWrap w:val="0"/>
            <w:tcMar>
              <w:left w:w="108" w:type="dxa"/>
              <w:right w:w="108" w:type="dxa"/>
            </w:tcMar>
            <w:vAlign w:val="center"/>
          </w:tcPr>
          <w:p w14:paraId="55B7FD84">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-0.4</w:t>
            </w:r>
          </w:p>
        </w:tc>
        <w:tc>
          <w:tcPr>
            <w:tcW w:w="64" w:type="dxa"/>
            <w:tcBorders>
              <w:top w:val="nil"/>
              <w:left w:val="nil"/>
              <w:bottom w:val="nil"/>
              <w:right w:val="nil"/>
            </w:tcBorders>
            <w:shd w:val="clear" w:color="auto" w:fill="FFFFFF"/>
            <w:noWrap w:val="0"/>
            <w:vAlign w:val="center"/>
          </w:tcPr>
          <w:p w14:paraId="5E04C7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3B9B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0E4F1E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eastAsia" w:ascii="宋体" w:hAnsi="宋体" w:eastAsia="宋体" w:cs="宋体"/>
                <w:i w:val="0"/>
                <w:caps w:val="0"/>
                <w:color w:val="auto"/>
                <w:spacing w:val="0"/>
                <w:sz w:val="19"/>
                <w:szCs w:val="19"/>
              </w:rPr>
              <w:t>洗精煤（用于炼焦）</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738770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287B578B">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172.8</w:t>
            </w:r>
          </w:p>
        </w:tc>
        <w:tc>
          <w:tcPr>
            <w:tcW w:w="1230" w:type="dxa"/>
            <w:tcBorders>
              <w:top w:val="nil"/>
              <w:left w:val="nil"/>
              <w:bottom w:val="nil"/>
              <w:right w:val="nil"/>
            </w:tcBorders>
            <w:shd w:val="clear" w:color="auto" w:fill="FFFFFF"/>
            <w:noWrap w:val="0"/>
            <w:tcMar>
              <w:left w:w="108" w:type="dxa"/>
              <w:right w:w="108" w:type="dxa"/>
            </w:tcMar>
            <w:vAlign w:val="center"/>
          </w:tcPr>
          <w:p w14:paraId="4664CC72">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11.3</w:t>
            </w:r>
          </w:p>
        </w:tc>
        <w:tc>
          <w:tcPr>
            <w:tcW w:w="64" w:type="dxa"/>
            <w:tcBorders>
              <w:top w:val="nil"/>
              <w:left w:val="nil"/>
              <w:bottom w:val="nil"/>
              <w:right w:val="nil"/>
            </w:tcBorders>
            <w:shd w:val="clear" w:color="auto" w:fill="FFFFFF"/>
            <w:noWrap w:val="0"/>
            <w:vAlign w:val="center"/>
          </w:tcPr>
          <w:p w14:paraId="55CCB9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0333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48A375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eastAsia" w:ascii="宋体" w:hAnsi="宋体" w:eastAsia="宋体" w:cs="宋体"/>
                <w:i w:val="0"/>
                <w:caps w:val="0"/>
                <w:color w:val="auto"/>
                <w:spacing w:val="0"/>
                <w:sz w:val="19"/>
                <w:szCs w:val="19"/>
              </w:rPr>
              <w:t>焦炭</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457F8C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万吨</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041631FA">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755.9</w:t>
            </w:r>
          </w:p>
        </w:tc>
        <w:tc>
          <w:tcPr>
            <w:tcW w:w="1230" w:type="dxa"/>
            <w:tcBorders>
              <w:top w:val="nil"/>
              <w:left w:val="nil"/>
              <w:bottom w:val="nil"/>
              <w:right w:val="nil"/>
            </w:tcBorders>
            <w:shd w:val="clear" w:color="auto" w:fill="FFFFFF"/>
            <w:noWrap w:val="0"/>
            <w:tcMar>
              <w:left w:w="108" w:type="dxa"/>
              <w:right w:w="108" w:type="dxa"/>
            </w:tcMar>
            <w:vAlign w:val="center"/>
          </w:tcPr>
          <w:p w14:paraId="1B8B4DBB">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-14.9</w:t>
            </w:r>
          </w:p>
        </w:tc>
        <w:tc>
          <w:tcPr>
            <w:tcW w:w="64" w:type="dxa"/>
            <w:tcBorders>
              <w:top w:val="nil"/>
              <w:left w:val="nil"/>
              <w:bottom w:val="nil"/>
              <w:right w:val="nil"/>
            </w:tcBorders>
            <w:shd w:val="clear" w:color="auto" w:fill="FFFFFF"/>
            <w:noWrap w:val="0"/>
            <w:vAlign w:val="center"/>
          </w:tcPr>
          <w:p w14:paraId="1C8C24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11E90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nil"/>
              <w:right w:val="nil"/>
            </w:tcBorders>
            <w:shd w:val="clear" w:color="auto" w:fill="FFFFFF"/>
            <w:noWrap w:val="0"/>
            <w:tcMar>
              <w:left w:w="108" w:type="dxa"/>
              <w:right w:w="108" w:type="dxa"/>
            </w:tcMar>
            <w:vAlign w:val="center"/>
          </w:tcPr>
          <w:p w14:paraId="1626FD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rPr>
            </w:pPr>
            <w:r>
              <w:rPr>
                <w:rFonts w:hint="eastAsia" w:ascii="宋体" w:hAnsi="宋体" w:eastAsia="宋体" w:cs="宋体"/>
                <w:i w:val="0"/>
                <w:caps w:val="0"/>
                <w:color w:val="auto"/>
                <w:spacing w:val="0"/>
                <w:sz w:val="19"/>
                <w:szCs w:val="19"/>
              </w:rPr>
              <w:t>发电量</w:t>
            </w:r>
          </w:p>
        </w:tc>
        <w:tc>
          <w:tcPr>
            <w:tcW w:w="1146" w:type="dxa"/>
            <w:tcBorders>
              <w:top w:val="nil"/>
              <w:left w:val="single" w:color="000000" w:sz="8" w:space="0"/>
              <w:bottom w:val="nil"/>
              <w:right w:val="single" w:color="000000" w:sz="8" w:space="0"/>
            </w:tcBorders>
            <w:shd w:val="clear" w:color="auto" w:fill="FFFFFF"/>
            <w:noWrap w:val="0"/>
            <w:tcMar>
              <w:left w:w="108" w:type="dxa"/>
              <w:right w:w="108" w:type="dxa"/>
            </w:tcMar>
            <w:vAlign w:val="center"/>
          </w:tcPr>
          <w:p w14:paraId="22204D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亿千瓦时</w:t>
            </w:r>
          </w:p>
        </w:tc>
        <w:tc>
          <w:tcPr>
            <w:tcW w:w="1406" w:type="dxa"/>
            <w:tcBorders>
              <w:top w:val="nil"/>
              <w:left w:val="nil"/>
              <w:bottom w:val="nil"/>
              <w:right w:val="single" w:color="000000" w:sz="8" w:space="0"/>
            </w:tcBorders>
            <w:shd w:val="clear" w:color="auto" w:fill="FFFFFF"/>
            <w:noWrap w:val="0"/>
            <w:tcMar>
              <w:left w:w="108" w:type="dxa"/>
              <w:right w:w="108" w:type="dxa"/>
            </w:tcMar>
            <w:vAlign w:val="center"/>
          </w:tcPr>
          <w:p w14:paraId="1D46A111">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210.7</w:t>
            </w:r>
          </w:p>
        </w:tc>
        <w:tc>
          <w:tcPr>
            <w:tcW w:w="1230" w:type="dxa"/>
            <w:tcBorders>
              <w:top w:val="nil"/>
              <w:left w:val="nil"/>
              <w:bottom w:val="nil"/>
              <w:right w:val="nil"/>
            </w:tcBorders>
            <w:shd w:val="clear" w:color="auto" w:fill="FFFFFF"/>
            <w:noWrap w:val="0"/>
            <w:tcMar>
              <w:left w:w="108" w:type="dxa"/>
              <w:right w:w="108" w:type="dxa"/>
            </w:tcMar>
            <w:vAlign w:val="center"/>
          </w:tcPr>
          <w:p w14:paraId="6335DBC7">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0.2</w:t>
            </w:r>
          </w:p>
        </w:tc>
        <w:tc>
          <w:tcPr>
            <w:tcW w:w="64" w:type="dxa"/>
            <w:tcBorders>
              <w:top w:val="nil"/>
              <w:left w:val="nil"/>
              <w:bottom w:val="nil"/>
              <w:right w:val="nil"/>
            </w:tcBorders>
            <w:shd w:val="clear" w:color="auto" w:fill="FFFFFF"/>
            <w:noWrap w:val="0"/>
            <w:vAlign w:val="center"/>
          </w:tcPr>
          <w:p w14:paraId="5A10C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r w14:paraId="6869C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5" w:hRule="atLeast"/>
          <w:jc w:val="center"/>
        </w:trPr>
        <w:tc>
          <w:tcPr>
            <w:tcW w:w="2097" w:type="dxa"/>
            <w:tcBorders>
              <w:top w:val="nil"/>
              <w:left w:val="nil"/>
              <w:bottom w:val="single" w:color="000000" w:sz="8" w:space="0"/>
              <w:right w:val="nil"/>
            </w:tcBorders>
            <w:shd w:val="clear" w:color="auto" w:fill="FFFFFF"/>
            <w:noWrap w:val="0"/>
            <w:tcMar>
              <w:left w:w="108" w:type="dxa"/>
              <w:right w:w="108" w:type="dxa"/>
            </w:tcMar>
            <w:vAlign w:val="center"/>
          </w:tcPr>
          <w:p w14:paraId="4D41A0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auto"/>
              </w:rPr>
            </w:pPr>
            <w:r>
              <w:rPr>
                <w:rFonts w:hint="eastAsia" w:ascii="宋体" w:hAnsi="宋体" w:eastAsia="宋体" w:cs="宋体"/>
                <w:i w:val="0"/>
                <w:caps w:val="0"/>
                <w:color w:val="auto"/>
                <w:spacing w:val="0"/>
                <w:sz w:val="19"/>
                <w:szCs w:val="19"/>
              </w:rPr>
              <w:t>其中：火力发电量</w:t>
            </w:r>
          </w:p>
        </w:tc>
        <w:tc>
          <w:tcPr>
            <w:tcW w:w="1146" w:type="dxa"/>
            <w:tcBorders>
              <w:top w:val="nil"/>
              <w:left w:val="single" w:color="000000" w:sz="8" w:space="0"/>
              <w:bottom w:val="single" w:color="000000" w:sz="8" w:space="0"/>
              <w:right w:val="single" w:color="000000" w:sz="8" w:space="0"/>
            </w:tcBorders>
            <w:shd w:val="clear" w:color="auto" w:fill="FFFFFF"/>
            <w:noWrap w:val="0"/>
            <w:tcMar>
              <w:left w:w="108" w:type="dxa"/>
              <w:right w:w="108" w:type="dxa"/>
            </w:tcMar>
            <w:vAlign w:val="center"/>
          </w:tcPr>
          <w:p w14:paraId="34AA91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auto"/>
              </w:rPr>
            </w:pPr>
            <w:r>
              <w:rPr>
                <w:rFonts w:hint="eastAsia" w:ascii="宋体" w:hAnsi="宋体" w:eastAsia="宋体" w:cs="宋体"/>
                <w:i w:val="0"/>
                <w:caps w:val="0"/>
                <w:color w:val="auto"/>
                <w:spacing w:val="0"/>
                <w:sz w:val="19"/>
                <w:szCs w:val="19"/>
              </w:rPr>
              <w:t>亿千瓦时</w:t>
            </w:r>
          </w:p>
        </w:tc>
        <w:tc>
          <w:tcPr>
            <w:tcW w:w="1406" w:type="dxa"/>
            <w:tcBorders>
              <w:top w:val="nil"/>
              <w:left w:val="nil"/>
              <w:bottom w:val="single" w:color="000000" w:sz="8" w:space="0"/>
              <w:right w:val="single" w:color="000000" w:sz="8" w:space="0"/>
            </w:tcBorders>
            <w:shd w:val="clear" w:color="auto" w:fill="FFFFFF"/>
            <w:noWrap w:val="0"/>
            <w:tcMar>
              <w:left w:w="108" w:type="dxa"/>
              <w:right w:w="108" w:type="dxa"/>
            </w:tcMar>
            <w:vAlign w:val="center"/>
          </w:tcPr>
          <w:p w14:paraId="1DF61463">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143.6</w:t>
            </w:r>
          </w:p>
        </w:tc>
        <w:tc>
          <w:tcPr>
            <w:tcW w:w="1230" w:type="dxa"/>
            <w:tcBorders>
              <w:top w:val="nil"/>
              <w:left w:val="nil"/>
              <w:bottom w:val="single" w:color="000000" w:sz="8" w:space="0"/>
              <w:right w:val="nil"/>
            </w:tcBorders>
            <w:shd w:val="clear" w:color="auto" w:fill="FFFFFF"/>
            <w:noWrap w:val="0"/>
            <w:tcMar>
              <w:left w:w="108" w:type="dxa"/>
              <w:right w:w="108" w:type="dxa"/>
            </w:tcMar>
            <w:vAlign w:val="center"/>
          </w:tcPr>
          <w:p w14:paraId="30C9A7F6">
            <w:pPr>
              <w:keepNext w:val="0"/>
              <w:keepLines w:val="0"/>
              <w:widowControl/>
              <w:suppressLineNumbers w:val="0"/>
              <w:jc w:val="center"/>
              <w:textAlignment w:val="center"/>
              <w:rPr>
                <w:rFonts w:hint="default" w:ascii="宋体" w:hAnsi="宋体" w:eastAsia="宋体" w:cs="宋体"/>
                <w:i w:val="0"/>
                <w:caps w:val="0"/>
                <w:color w:val="auto"/>
                <w:spacing w:val="0"/>
                <w:kern w:val="0"/>
                <w:sz w:val="19"/>
                <w:szCs w:val="19"/>
                <w:lang w:val="en-US" w:eastAsia="zh-CN" w:bidi="ar"/>
              </w:rPr>
            </w:pPr>
            <w:r>
              <w:rPr>
                <w:rFonts w:hint="default" w:ascii="宋体" w:hAnsi="宋体" w:cs="宋体"/>
                <w:i w:val="0"/>
                <w:caps w:val="0"/>
                <w:color w:val="auto"/>
                <w:spacing w:val="0"/>
                <w:kern w:val="0"/>
                <w:sz w:val="19"/>
                <w:szCs w:val="19"/>
                <w:lang w:val="en-US" w:eastAsia="zh-CN" w:bidi="ar"/>
              </w:rPr>
              <w:t>-4.6</w:t>
            </w:r>
          </w:p>
        </w:tc>
        <w:tc>
          <w:tcPr>
            <w:tcW w:w="64" w:type="dxa"/>
            <w:tcBorders>
              <w:top w:val="nil"/>
              <w:left w:val="nil"/>
              <w:bottom w:val="nil"/>
              <w:right w:val="nil"/>
            </w:tcBorders>
            <w:shd w:val="clear" w:color="auto" w:fill="FFFFFF"/>
            <w:noWrap w:val="0"/>
            <w:vAlign w:val="center"/>
          </w:tcPr>
          <w:p w14:paraId="582E66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color w:val="auto"/>
              </w:rPr>
            </w:pPr>
            <w:r>
              <w:rPr>
                <w:rFonts w:hint="default" w:ascii="Times New Roman" w:hAnsi="Times New Roman" w:cs="Times New Roman"/>
                <w:i w:val="0"/>
                <w:caps w:val="0"/>
                <w:color w:val="auto"/>
                <w:spacing w:val="0"/>
                <w:sz w:val="20"/>
                <w:szCs w:val="20"/>
              </w:rPr>
              <w:t> </w:t>
            </w:r>
          </w:p>
        </w:tc>
      </w:tr>
    </w:tbl>
    <w:p w14:paraId="2BFD335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420"/>
        <w:jc w:val="center"/>
        <w:textAlignment w:val="auto"/>
        <w:rPr>
          <w:rFonts w:hint="eastAsia" w:ascii="CESI黑体-GB2312" w:hAnsi="CESI黑体-GB2312" w:eastAsia="CESI黑体-GB2312" w:cs="CESI黑体-GB2312"/>
          <w:i w:val="0"/>
          <w:caps w:val="0"/>
          <w:color w:val="auto"/>
          <w:spacing w:val="0"/>
          <w:sz w:val="32"/>
          <w:szCs w:val="32"/>
          <w:highlight w:val="yellow"/>
          <w:lang w:eastAsia="zh-CN"/>
        </w:rPr>
      </w:pPr>
      <w:r>
        <w:rPr>
          <w:rFonts w:hint="eastAsia" w:ascii="CESI黑体-GB2312" w:hAnsi="CESI黑体-GB2312" w:eastAsia="CESI黑体-GB2312" w:cs="CESI黑体-GB2312"/>
          <w:i w:val="0"/>
          <w:caps w:val="0"/>
          <w:color w:val="auto"/>
          <w:spacing w:val="0"/>
          <w:sz w:val="32"/>
          <w:szCs w:val="32"/>
          <w:shd w:val="clear" w:color="auto" w:fill="FFFFFF"/>
        </w:rPr>
        <w:t>四、交通运输和邮电</w:t>
      </w:r>
    </w:p>
    <w:p w14:paraId="229ACC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全年全市货物运输总量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1.96</w:t>
      </w:r>
      <w:r>
        <w:rPr>
          <w:rFonts w:hint="eastAsia" w:ascii="仿宋_GB2312" w:hAnsi="仿宋_GB2312" w:eastAsia="仿宋_GB2312" w:cs="仿宋_GB2312"/>
          <w:i w:val="0"/>
          <w:caps w:val="0"/>
          <w:color w:val="auto"/>
          <w:spacing w:val="0"/>
          <w:sz w:val="32"/>
          <w:szCs w:val="32"/>
          <w:highlight w:val="none"/>
          <w:u w:val="none"/>
          <w:shd w:val="clear" w:color="auto" w:fill="FFFFFF"/>
        </w:rPr>
        <w:t>亿吨</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w:t>
      </w:r>
      <w:r>
        <w:rPr>
          <w:rFonts w:hint="eastAsia" w:ascii="仿宋_GB2312" w:hAnsi="仿宋_GB2312" w:eastAsia="仿宋_GB2312" w:cs="仿宋_GB2312"/>
          <w:i w:val="0"/>
          <w:caps w:val="0"/>
          <w:color w:val="auto"/>
          <w:spacing w:val="0"/>
          <w:sz w:val="32"/>
          <w:szCs w:val="32"/>
          <w:highlight w:val="none"/>
          <w:u w:val="none"/>
          <w:shd w:val="clear" w:color="auto" w:fill="FFFFFF"/>
        </w:rPr>
        <w:t>货物运输周转量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679.5</w:t>
      </w:r>
      <w:r>
        <w:rPr>
          <w:rFonts w:hint="eastAsia" w:ascii="仿宋_GB2312" w:hAnsi="仿宋_GB2312" w:eastAsia="仿宋_GB2312" w:cs="仿宋_GB2312"/>
          <w:i w:val="0"/>
          <w:caps w:val="0"/>
          <w:color w:val="auto"/>
          <w:spacing w:val="0"/>
          <w:sz w:val="32"/>
          <w:szCs w:val="32"/>
          <w:highlight w:val="none"/>
          <w:u w:val="none"/>
          <w:shd w:val="clear" w:color="auto" w:fill="FFFFFF"/>
        </w:rPr>
        <w:t>亿吨公里。旅客运输总量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5096万</w:t>
      </w:r>
      <w:r>
        <w:rPr>
          <w:rFonts w:hint="eastAsia" w:ascii="仿宋_GB2312" w:hAnsi="仿宋_GB2312" w:eastAsia="仿宋_GB2312" w:cs="仿宋_GB2312"/>
          <w:i w:val="0"/>
          <w:caps w:val="0"/>
          <w:color w:val="auto"/>
          <w:spacing w:val="0"/>
          <w:sz w:val="32"/>
          <w:szCs w:val="32"/>
          <w:highlight w:val="none"/>
          <w:u w:val="none"/>
          <w:shd w:val="clear" w:color="auto" w:fill="FFFFFF"/>
        </w:rPr>
        <w:t>人次</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w:t>
      </w:r>
      <w:r>
        <w:rPr>
          <w:rFonts w:hint="eastAsia" w:ascii="仿宋_GB2312" w:hAnsi="仿宋_GB2312" w:eastAsia="仿宋_GB2312" w:cs="仿宋_GB2312"/>
          <w:i w:val="0"/>
          <w:caps w:val="0"/>
          <w:color w:val="auto"/>
          <w:spacing w:val="0"/>
          <w:sz w:val="32"/>
          <w:szCs w:val="32"/>
          <w:highlight w:val="none"/>
          <w:u w:val="none"/>
          <w:shd w:val="clear" w:color="auto" w:fill="FFFFFF"/>
        </w:rPr>
        <w:t>旅客运输周转量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33.6</w:t>
      </w:r>
      <w:r>
        <w:rPr>
          <w:rFonts w:hint="eastAsia" w:ascii="仿宋_GB2312" w:hAnsi="仿宋_GB2312" w:eastAsia="仿宋_GB2312" w:cs="仿宋_GB2312"/>
          <w:i w:val="0"/>
          <w:caps w:val="0"/>
          <w:color w:val="auto"/>
          <w:spacing w:val="0"/>
          <w:sz w:val="32"/>
          <w:szCs w:val="32"/>
          <w:highlight w:val="none"/>
          <w:u w:val="none"/>
          <w:shd w:val="clear" w:color="auto" w:fill="FFFFFF"/>
        </w:rPr>
        <w:t>亿人公里。</w:t>
      </w:r>
    </w:p>
    <w:p w14:paraId="0F096A6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全年全市邮电业务总量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102.7</w:t>
      </w:r>
      <w:r>
        <w:rPr>
          <w:rFonts w:hint="eastAsia" w:ascii="仿宋_GB2312" w:hAnsi="仿宋_GB2312" w:eastAsia="仿宋_GB2312" w:cs="仿宋_GB2312"/>
          <w:i w:val="0"/>
          <w:caps w:val="0"/>
          <w:color w:val="auto"/>
          <w:spacing w:val="0"/>
          <w:sz w:val="32"/>
          <w:szCs w:val="32"/>
          <w:highlight w:val="none"/>
          <w:u w:val="none"/>
          <w:shd w:val="clear" w:color="auto" w:fill="FFFFFF"/>
        </w:rPr>
        <w:t>亿元，比上年增长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10.4</w:t>
      </w:r>
      <w:r>
        <w:rPr>
          <w:rFonts w:hint="eastAsia" w:ascii="仿宋_GB2312" w:hAnsi="仿宋_GB2312" w:eastAsia="仿宋_GB2312" w:cs="仿宋_GB2312"/>
          <w:i w:val="0"/>
          <w:caps w:val="0"/>
          <w:color w:val="auto"/>
          <w:spacing w:val="0"/>
          <w:sz w:val="32"/>
          <w:szCs w:val="32"/>
          <w:highlight w:val="none"/>
          <w:u w:val="none"/>
          <w:shd w:val="clear" w:color="auto" w:fill="FFFFFF"/>
        </w:rPr>
        <w:t>%。其中，邮政行业业务总量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50.3</w:t>
      </w:r>
      <w:r>
        <w:rPr>
          <w:rFonts w:hint="eastAsia" w:ascii="仿宋_GB2312" w:hAnsi="仿宋_GB2312" w:eastAsia="仿宋_GB2312" w:cs="仿宋_GB2312"/>
          <w:i w:val="0"/>
          <w:caps w:val="0"/>
          <w:color w:val="auto"/>
          <w:spacing w:val="0"/>
          <w:sz w:val="32"/>
          <w:szCs w:val="32"/>
          <w:highlight w:val="none"/>
          <w:u w:val="none"/>
          <w:shd w:val="clear" w:color="auto" w:fill="FFFFFF"/>
        </w:rPr>
        <w:t>亿元，增长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25.4</w:t>
      </w:r>
      <w:r>
        <w:rPr>
          <w:rFonts w:hint="eastAsia" w:ascii="仿宋_GB2312" w:hAnsi="仿宋_GB2312" w:eastAsia="仿宋_GB2312" w:cs="仿宋_GB2312"/>
          <w:i w:val="0"/>
          <w:caps w:val="0"/>
          <w:color w:val="auto"/>
          <w:spacing w:val="0"/>
          <w:sz w:val="32"/>
          <w:szCs w:val="32"/>
          <w:highlight w:val="none"/>
          <w:u w:val="none"/>
          <w:shd w:val="clear" w:color="auto" w:fill="FFFFFF"/>
        </w:rPr>
        <w:t>%；电信业务总量</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52.4</w:t>
      </w:r>
      <w:r>
        <w:rPr>
          <w:rFonts w:hint="eastAsia" w:ascii="仿宋_GB2312" w:hAnsi="仿宋_GB2312" w:eastAsia="仿宋_GB2312" w:cs="仿宋_GB2312"/>
          <w:i w:val="0"/>
          <w:caps w:val="0"/>
          <w:color w:val="auto"/>
          <w:spacing w:val="0"/>
          <w:sz w:val="32"/>
          <w:szCs w:val="32"/>
          <w:highlight w:val="none"/>
          <w:u w:val="none"/>
          <w:shd w:val="clear" w:color="auto" w:fill="FFFFFF"/>
        </w:rPr>
        <w:t>亿元，增长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7.7</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28C168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42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五、固定资产投资</w:t>
      </w:r>
    </w:p>
    <w:p w14:paraId="2BB04E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全年全市固定资产投资（不含农户，下同）比上年增长5.3%。分产业看，第一产业投资下降33.5%，第二产业投资增长17.1%，第三产业投资增长0.3%。分领域看，工业投资增长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17.1</w:t>
      </w:r>
      <w:r>
        <w:rPr>
          <w:rFonts w:hint="eastAsia" w:ascii="仿宋_GB2312" w:hAnsi="仿宋_GB2312" w:eastAsia="仿宋_GB2312" w:cs="仿宋_GB2312"/>
          <w:i w:val="0"/>
          <w:caps w:val="0"/>
          <w:color w:val="auto"/>
          <w:spacing w:val="0"/>
          <w:sz w:val="32"/>
          <w:szCs w:val="32"/>
          <w:highlight w:val="none"/>
          <w:u w:val="none"/>
          <w:shd w:val="clear" w:color="auto" w:fill="FFFFFF"/>
        </w:rPr>
        <w:t>%，基础设施投资</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6.9</w:t>
      </w:r>
      <w:r>
        <w:rPr>
          <w:rFonts w:hint="eastAsia" w:ascii="仿宋_GB2312" w:hAnsi="仿宋_GB2312" w:eastAsia="仿宋_GB2312" w:cs="仿宋_GB2312"/>
          <w:i w:val="0"/>
          <w:caps w:val="0"/>
          <w:color w:val="auto"/>
          <w:spacing w:val="0"/>
          <w:sz w:val="32"/>
          <w:szCs w:val="32"/>
          <w:highlight w:val="none"/>
          <w:u w:val="none"/>
          <w:shd w:val="clear" w:color="auto" w:fill="FFFFFF"/>
        </w:rPr>
        <w:t>％，民间投资</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7.0</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04216F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全年房地产开发投资比上年下降11.2%。其中，住宅投资下降13.2%。商品房销售面积下降6.9%，房屋施工面积下降13.1%，房屋新开工面积下降34.3%，房屋竣工面积下降53.2%。</w:t>
      </w:r>
    </w:p>
    <w:p w14:paraId="3BD147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六、国内贸易</w:t>
      </w:r>
    </w:p>
    <w:p w14:paraId="7ADCA0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全年全市社会消费品零售总额完成</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1035.0</w:t>
      </w:r>
      <w:r>
        <w:rPr>
          <w:rFonts w:hint="eastAsia" w:ascii="仿宋_GB2312" w:hAnsi="仿宋_GB2312" w:eastAsia="仿宋_GB2312" w:cs="仿宋_GB2312"/>
          <w:i w:val="0"/>
          <w:caps w:val="0"/>
          <w:color w:val="auto"/>
          <w:spacing w:val="0"/>
          <w:sz w:val="32"/>
          <w:szCs w:val="32"/>
          <w:highlight w:val="none"/>
          <w:u w:val="none"/>
          <w:shd w:val="clear" w:color="auto" w:fill="FFFFFF"/>
        </w:rPr>
        <w:t>亿元，比上年增长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5.7</w:t>
      </w:r>
      <w:r>
        <w:rPr>
          <w:rFonts w:hint="eastAsia" w:ascii="仿宋_GB2312" w:hAnsi="仿宋_GB2312" w:eastAsia="仿宋_GB2312" w:cs="仿宋_GB2312"/>
          <w:i w:val="0"/>
          <w:caps w:val="0"/>
          <w:color w:val="auto"/>
          <w:spacing w:val="0"/>
          <w:sz w:val="32"/>
          <w:szCs w:val="32"/>
          <w:highlight w:val="none"/>
          <w:u w:val="none"/>
          <w:shd w:val="clear" w:color="auto" w:fill="FFFFFF"/>
        </w:rPr>
        <w:t>%。其中限额以上消费品零售总额</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233.7</w:t>
      </w:r>
      <w:r>
        <w:rPr>
          <w:rFonts w:hint="eastAsia" w:ascii="仿宋_GB2312" w:hAnsi="仿宋_GB2312" w:eastAsia="仿宋_GB2312" w:cs="仿宋_GB2312"/>
          <w:i w:val="0"/>
          <w:caps w:val="0"/>
          <w:color w:val="auto"/>
          <w:spacing w:val="0"/>
          <w:sz w:val="32"/>
          <w:szCs w:val="32"/>
          <w:highlight w:val="none"/>
          <w:u w:val="none"/>
          <w:shd w:val="clear" w:color="auto" w:fill="FFFFFF"/>
        </w:rPr>
        <w:t>亿元，增长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10.6</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58FE44A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从限上商品零售类值看，粮油、食品类比上年增长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22.7</w:t>
      </w:r>
      <w:r>
        <w:rPr>
          <w:rFonts w:hint="eastAsia" w:ascii="仿宋_GB2312" w:hAnsi="仿宋_GB2312" w:eastAsia="仿宋_GB2312" w:cs="仿宋_GB2312"/>
          <w:i w:val="0"/>
          <w:caps w:val="0"/>
          <w:color w:val="auto"/>
          <w:spacing w:val="0"/>
          <w:sz w:val="32"/>
          <w:szCs w:val="32"/>
          <w:highlight w:val="none"/>
          <w:u w:val="none"/>
          <w:shd w:val="clear" w:color="auto" w:fill="FFFFFF"/>
        </w:rPr>
        <w:t>%；石油及制品类增长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8.5</w:t>
      </w:r>
      <w:r>
        <w:rPr>
          <w:rFonts w:hint="eastAsia" w:ascii="仿宋_GB2312" w:hAnsi="仿宋_GB2312" w:eastAsia="仿宋_GB2312" w:cs="仿宋_GB2312"/>
          <w:i w:val="0"/>
          <w:caps w:val="0"/>
          <w:color w:val="auto"/>
          <w:spacing w:val="0"/>
          <w:sz w:val="32"/>
          <w:szCs w:val="32"/>
          <w:highlight w:val="none"/>
          <w:u w:val="none"/>
          <w:shd w:val="clear" w:color="auto" w:fill="FFFFFF"/>
        </w:rPr>
        <w:t>%；家具类</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下降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14.0</w:t>
      </w:r>
      <w:r>
        <w:rPr>
          <w:rFonts w:hint="eastAsia" w:ascii="仿宋_GB2312" w:hAnsi="仿宋_GB2312" w:eastAsia="仿宋_GB2312" w:cs="仿宋_GB2312"/>
          <w:i w:val="0"/>
          <w:caps w:val="0"/>
          <w:color w:val="auto"/>
          <w:spacing w:val="0"/>
          <w:sz w:val="32"/>
          <w:szCs w:val="32"/>
          <w:highlight w:val="none"/>
          <w:u w:val="none"/>
          <w:shd w:val="clear" w:color="auto" w:fill="FFFFFF"/>
        </w:rPr>
        <w:t>%；汽车类</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下降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7.2</w:t>
      </w:r>
      <w:r>
        <w:rPr>
          <w:rFonts w:hint="eastAsia" w:ascii="仿宋_GB2312" w:hAnsi="仿宋_GB2312" w:eastAsia="仿宋_GB2312" w:cs="仿宋_GB2312"/>
          <w:i w:val="0"/>
          <w:caps w:val="0"/>
          <w:color w:val="auto"/>
          <w:spacing w:val="0"/>
          <w:sz w:val="32"/>
          <w:szCs w:val="32"/>
          <w:highlight w:val="none"/>
          <w:u w:val="none"/>
          <w:shd w:val="clear" w:color="auto" w:fill="FFFFFF"/>
        </w:rPr>
        <w:t>%；家用电器和音像类增长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20.5</w:t>
      </w:r>
      <w:r>
        <w:rPr>
          <w:rFonts w:hint="eastAsia" w:ascii="仿宋_GB2312" w:hAnsi="仿宋_GB2312" w:eastAsia="仿宋_GB2312" w:cs="仿宋_GB2312"/>
          <w:i w:val="0"/>
          <w:caps w:val="0"/>
          <w:color w:val="auto"/>
          <w:spacing w:val="0"/>
          <w:sz w:val="32"/>
          <w:szCs w:val="32"/>
          <w:highlight w:val="none"/>
          <w:u w:val="none"/>
          <w:shd w:val="clear" w:color="auto" w:fill="FFFFFF"/>
        </w:rPr>
        <w:t>%；建筑及装潢材料类</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75.7</w:t>
      </w:r>
      <w:r>
        <w:rPr>
          <w:rFonts w:hint="eastAsia" w:ascii="仿宋_GB2312" w:hAnsi="仿宋_GB2312" w:eastAsia="仿宋_GB2312" w:cs="仿宋_GB2312"/>
          <w:i w:val="0"/>
          <w:caps w:val="0"/>
          <w:color w:val="auto"/>
          <w:spacing w:val="0"/>
          <w:sz w:val="32"/>
          <w:szCs w:val="32"/>
          <w:highlight w:val="none"/>
          <w:u w:val="none"/>
          <w:shd w:val="clear" w:color="auto" w:fill="FFFFFF"/>
        </w:rPr>
        <w:t>%；烟酒类增长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7.1</w:t>
      </w:r>
      <w:r>
        <w:rPr>
          <w:rFonts w:hint="eastAsia" w:ascii="仿宋_GB2312" w:hAnsi="仿宋_GB2312" w:eastAsia="仿宋_GB2312" w:cs="仿宋_GB2312"/>
          <w:i w:val="0"/>
          <w:caps w:val="0"/>
          <w:color w:val="auto"/>
          <w:spacing w:val="0"/>
          <w:sz w:val="32"/>
          <w:szCs w:val="32"/>
          <w:highlight w:val="none"/>
          <w:u w:val="none"/>
          <w:shd w:val="clear" w:color="auto" w:fill="FFFFFF"/>
        </w:rPr>
        <w:t>%；日用品类</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43.0</w:t>
      </w:r>
      <w:r>
        <w:rPr>
          <w:rFonts w:hint="eastAsia" w:ascii="仿宋_GB2312" w:hAnsi="仿宋_GB2312" w:eastAsia="仿宋_GB2312" w:cs="仿宋_GB2312"/>
          <w:i w:val="0"/>
          <w:caps w:val="0"/>
          <w:color w:val="auto"/>
          <w:spacing w:val="0"/>
          <w:sz w:val="32"/>
          <w:szCs w:val="32"/>
          <w:highlight w:val="none"/>
          <w:u w:val="none"/>
          <w:shd w:val="clear" w:color="auto" w:fill="FFFFFF"/>
        </w:rPr>
        <w:t>%；服装、鞋帽、针纺织品类比上年</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11.1</w:t>
      </w:r>
      <w:r>
        <w:rPr>
          <w:rFonts w:hint="eastAsia" w:ascii="仿宋_GB2312" w:hAnsi="仿宋_GB2312" w:eastAsia="仿宋_GB2312" w:cs="仿宋_GB2312"/>
          <w:i w:val="0"/>
          <w:caps w:val="0"/>
          <w:color w:val="auto"/>
          <w:spacing w:val="0"/>
          <w:sz w:val="32"/>
          <w:szCs w:val="32"/>
          <w:highlight w:val="none"/>
          <w:u w:val="none"/>
          <w:shd w:val="clear" w:color="auto" w:fill="FFFFFF"/>
        </w:rPr>
        <w:t>%；饮料类增长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29.7</w:t>
      </w:r>
      <w:r>
        <w:rPr>
          <w:rFonts w:hint="eastAsia" w:ascii="仿宋_GB2312" w:hAnsi="仿宋_GB2312" w:eastAsia="仿宋_GB2312" w:cs="仿宋_GB2312"/>
          <w:i w:val="0"/>
          <w:caps w:val="0"/>
          <w:color w:val="auto"/>
          <w:spacing w:val="0"/>
          <w:sz w:val="32"/>
          <w:szCs w:val="32"/>
          <w:highlight w:val="none"/>
          <w:u w:val="none"/>
          <w:shd w:val="clear" w:color="auto" w:fill="FFFFFF"/>
        </w:rPr>
        <w:t>%；中西药品类增长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14.3</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688F1D6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3" w:firstLineChars="200"/>
        <w:jc w:val="both"/>
        <w:textAlignment w:val="auto"/>
        <w:rPr>
          <w:rFonts w:hint="eastAsia" w:ascii="仿宋_GB2312" w:hAnsi="仿宋_GB2312" w:eastAsia="仿宋_GB2312" w:cs="仿宋_GB2312"/>
          <w:b/>
          <w:bCs/>
          <w:i w:val="0"/>
          <w:caps w:val="0"/>
          <w:color w:val="auto"/>
          <w:spacing w:val="0"/>
          <w:sz w:val="32"/>
          <w:szCs w:val="32"/>
          <w:highlight w:val="none"/>
          <w:u w:val="none"/>
          <w:shd w:val="clear" w:color="auto" w:fill="FFFFFF"/>
        </w:rPr>
      </w:pPr>
    </w:p>
    <w:p w14:paraId="4F4B5A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jc w:val="center"/>
        <w:textAlignment w:val="auto"/>
        <w:rPr>
          <w:rFonts w:hint="eastAsia" w:ascii="仿宋_GB2312" w:hAnsi="仿宋_GB2312" w:eastAsia="仿宋_GB2312" w:cs="仿宋_GB2312"/>
          <w:b/>
          <w:bCs/>
          <w:i w:val="0"/>
          <w:caps w:val="0"/>
          <w:color w:val="auto"/>
          <w:spacing w:val="0"/>
          <w:sz w:val="32"/>
          <w:szCs w:val="32"/>
          <w:highlight w:val="none"/>
          <w:u w:val="none"/>
          <w:shd w:val="clear" w:color="auto" w:fill="FFFFFF"/>
        </w:rPr>
      </w:pPr>
      <w:r>
        <w:rPr>
          <w:rFonts w:hint="eastAsia" w:ascii="仿宋_GB2312" w:hAnsi="仿宋_GB2312" w:eastAsia="仿宋_GB2312" w:cs="仿宋_GB2312"/>
          <w:b/>
          <w:bCs/>
          <w:i w:val="0"/>
          <w:caps w:val="0"/>
          <w:color w:val="auto"/>
          <w:spacing w:val="0"/>
          <w:sz w:val="32"/>
          <w:szCs w:val="32"/>
          <w:highlight w:val="none"/>
          <w:u w:val="none"/>
          <w:shd w:val="clear" w:color="auto" w:fill="FFFFFF"/>
        </w:rPr>
        <w:t>表3</w:t>
      </w:r>
      <w:r>
        <w:rPr>
          <w:rFonts w:hint="eastAsia" w:ascii="仿宋_GB2312" w:hAnsi="仿宋_GB2312" w:eastAsia="仿宋_GB2312" w:cs="仿宋_GB2312"/>
          <w:b/>
          <w:bCs/>
          <w:i w:val="0"/>
          <w:caps w:val="0"/>
          <w:color w:val="auto"/>
          <w:spacing w:val="0"/>
          <w:sz w:val="32"/>
          <w:szCs w:val="32"/>
          <w:highlight w:val="none"/>
          <w:u w:val="none"/>
          <w:shd w:val="clear" w:color="auto" w:fill="FFFFFF"/>
          <w:lang w:val="en-US" w:eastAsia="zh-CN"/>
        </w:rPr>
        <w:t xml:space="preserve"> </w:t>
      </w:r>
      <w:r>
        <w:rPr>
          <w:rFonts w:hint="eastAsia" w:ascii="仿宋_GB2312" w:hAnsi="仿宋_GB2312" w:eastAsia="仿宋_GB2312" w:cs="仿宋_GB2312"/>
          <w:b/>
          <w:bCs/>
          <w:i w:val="0"/>
          <w:caps w:val="0"/>
          <w:color w:val="auto"/>
          <w:spacing w:val="0"/>
          <w:sz w:val="32"/>
          <w:szCs w:val="32"/>
          <w:highlight w:val="none"/>
          <w:u w:val="none"/>
          <w:shd w:val="clear" w:color="auto" w:fill="FFFFFF"/>
        </w:rPr>
        <w:t> 20</w:t>
      </w:r>
      <w:r>
        <w:rPr>
          <w:rFonts w:hint="eastAsia" w:ascii="仿宋_GB2312" w:hAnsi="仿宋_GB2312" w:eastAsia="仿宋_GB2312" w:cs="仿宋_GB2312"/>
          <w:b/>
          <w:bCs/>
          <w:i w:val="0"/>
          <w:caps w:val="0"/>
          <w:color w:val="auto"/>
          <w:spacing w:val="0"/>
          <w:sz w:val="32"/>
          <w:szCs w:val="32"/>
          <w:highlight w:val="none"/>
          <w:u w:val="none"/>
          <w:shd w:val="clear" w:color="auto" w:fill="FFFFFF"/>
          <w:lang w:val="en-US" w:eastAsia="zh-CN"/>
        </w:rPr>
        <w:t>2</w:t>
      </w:r>
      <w:r>
        <w:rPr>
          <w:rFonts w:hint="default" w:ascii="仿宋_GB2312" w:hAnsi="仿宋_GB2312" w:eastAsia="仿宋_GB2312" w:cs="仿宋_GB2312"/>
          <w:b/>
          <w:bCs/>
          <w:i w:val="0"/>
          <w:caps w:val="0"/>
          <w:color w:val="auto"/>
          <w:spacing w:val="0"/>
          <w:sz w:val="32"/>
          <w:szCs w:val="32"/>
          <w:highlight w:val="none"/>
          <w:u w:val="none"/>
          <w:shd w:val="clear" w:color="auto" w:fill="FFFFFF"/>
          <w:lang w:val="en-US" w:eastAsia="zh-CN"/>
        </w:rPr>
        <w:t>5</w:t>
      </w:r>
      <w:r>
        <w:rPr>
          <w:rFonts w:hint="eastAsia" w:ascii="仿宋_GB2312" w:hAnsi="仿宋_GB2312" w:eastAsia="仿宋_GB2312" w:cs="仿宋_GB2312"/>
          <w:b/>
          <w:bCs/>
          <w:i w:val="0"/>
          <w:caps w:val="0"/>
          <w:color w:val="auto"/>
          <w:spacing w:val="0"/>
          <w:sz w:val="32"/>
          <w:szCs w:val="32"/>
          <w:highlight w:val="none"/>
          <w:u w:val="none"/>
          <w:shd w:val="clear" w:color="auto" w:fill="FFFFFF"/>
        </w:rPr>
        <w:t>年限额以上商品零售类值</w:t>
      </w:r>
    </w:p>
    <w:p w14:paraId="2A79BDA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right"/>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单位：万元、%</w:t>
      </w:r>
    </w:p>
    <w:tbl>
      <w:tblPr>
        <w:tblStyle w:val="7"/>
        <w:tblW w:w="7518" w:type="dxa"/>
        <w:jc w:val="center"/>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Layout w:type="autofit"/>
        <w:tblCellMar>
          <w:top w:w="0" w:type="dxa"/>
          <w:left w:w="0" w:type="dxa"/>
          <w:bottom w:w="0" w:type="dxa"/>
          <w:right w:w="0" w:type="dxa"/>
        </w:tblCellMar>
      </w:tblPr>
      <w:tblGrid>
        <w:gridCol w:w="3933"/>
        <w:gridCol w:w="1523"/>
        <w:gridCol w:w="2062"/>
      </w:tblGrid>
      <w:tr w14:paraId="35870D0F">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1006" w:hRule="atLeast"/>
          <w:jc w:val="center"/>
        </w:trPr>
        <w:tc>
          <w:tcPr>
            <w:tcW w:w="3933" w:type="dxa"/>
            <w:tcBorders>
              <w:top w:val="single" w:color="000000" w:sz="8" w:space="0"/>
              <w:left w:val="nil"/>
              <w:bottom w:val="single" w:color="auto" w:sz="8" w:space="0"/>
              <w:right w:val="single" w:color="000000" w:sz="8" w:space="0"/>
            </w:tcBorders>
            <w:noWrap w:val="0"/>
            <w:tcMar>
              <w:left w:w="108" w:type="dxa"/>
              <w:right w:w="108" w:type="dxa"/>
            </w:tcMar>
            <w:vAlign w:val="center"/>
          </w:tcPr>
          <w:p w14:paraId="43B3DD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18"/>
                <w:szCs w:val="18"/>
              </w:rPr>
              <w:t>指标名称</w:t>
            </w:r>
          </w:p>
        </w:tc>
        <w:tc>
          <w:tcPr>
            <w:tcW w:w="1523" w:type="dxa"/>
            <w:tcBorders>
              <w:top w:val="single" w:color="000000" w:sz="8" w:space="0"/>
              <w:left w:val="single" w:color="000000" w:sz="8" w:space="0"/>
              <w:bottom w:val="single" w:color="000000" w:sz="8" w:space="0"/>
              <w:right w:val="single" w:color="000000" w:sz="8" w:space="0"/>
            </w:tcBorders>
            <w:noWrap w:val="0"/>
            <w:tcMar>
              <w:left w:w="108" w:type="dxa"/>
              <w:right w:w="108" w:type="dxa"/>
            </w:tcMar>
            <w:vAlign w:val="center"/>
          </w:tcPr>
          <w:p w14:paraId="02E95C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18"/>
                <w:szCs w:val="18"/>
              </w:rPr>
              <w:t>类值</w:t>
            </w:r>
          </w:p>
        </w:tc>
        <w:tc>
          <w:tcPr>
            <w:tcW w:w="2062" w:type="dxa"/>
            <w:tcBorders>
              <w:top w:val="single" w:color="000000" w:sz="8" w:space="0"/>
              <w:left w:val="nil"/>
              <w:bottom w:val="single" w:color="auto" w:sz="8" w:space="0"/>
              <w:right w:val="nil"/>
            </w:tcBorders>
            <w:noWrap w:val="0"/>
            <w:tcMar>
              <w:left w:w="108" w:type="dxa"/>
              <w:right w:w="108" w:type="dxa"/>
            </w:tcMar>
            <w:vAlign w:val="center"/>
          </w:tcPr>
          <w:p w14:paraId="49E0E8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18"/>
                <w:szCs w:val="18"/>
              </w:rPr>
              <w:t>增 长</w:t>
            </w:r>
          </w:p>
        </w:tc>
      </w:tr>
      <w:tr w14:paraId="7C10C3BF">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4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63B914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sz w:val="24"/>
                <w:szCs w:val="24"/>
              </w:rPr>
            </w:pPr>
            <w:r>
              <w:rPr>
                <w:rFonts w:hint="eastAsia" w:ascii="宋体" w:hAnsi="宋体" w:eastAsia="宋体" w:cs="宋体"/>
                <w:sz w:val="18"/>
                <w:szCs w:val="18"/>
              </w:rPr>
              <w:t>合计</w:t>
            </w:r>
          </w:p>
        </w:tc>
        <w:tc>
          <w:tcPr>
            <w:tcW w:w="1523" w:type="dxa"/>
            <w:tcBorders>
              <w:top w:val="nil"/>
              <w:left w:val="nil"/>
              <w:bottom w:val="nil"/>
              <w:right w:val="single" w:color="auto" w:sz="8" w:space="0"/>
            </w:tcBorders>
            <w:noWrap w:val="0"/>
            <w:tcMar>
              <w:left w:w="108" w:type="dxa"/>
              <w:right w:w="108" w:type="dxa"/>
            </w:tcMar>
            <w:vAlign w:val="center"/>
          </w:tcPr>
          <w:p w14:paraId="1CBFA4FF">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2154106.3</w:t>
            </w:r>
          </w:p>
        </w:tc>
        <w:tc>
          <w:tcPr>
            <w:tcW w:w="2062" w:type="dxa"/>
            <w:tcBorders>
              <w:top w:val="nil"/>
              <w:left w:val="nil"/>
              <w:bottom w:val="nil"/>
              <w:right w:val="nil"/>
            </w:tcBorders>
            <w:noWrap w:val="0"/>
            <w:tcMar>
              <w:left w:w="108" w:type="dxa"/>
              <w:right w:w="108" w:type="dxa"/>
            </w:tcMar>
            <w:vAlign w:val="center"/>
          </w:tcPr>
          <w:p w14:paraId="404FDF21">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8.9</w:t>
            </w:r>
          </w:p>
        </w:tc>
      </w:tr>
      <w:tr w14:paraId="05AEE688">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1F872A64">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粮油、食品类</w:t>
            </w:r>
          </w:p>
        </w:tc>
        <w:tc>
          <w:tcPr>
            <w:tcW w:w="1523" w:type="dxa"/>
            <w:tcBorders>
              <w:top w:val="nil"/>
              <w:left w:val="nil"/>
              <w:bottom w:val="nil"/>
              <w:right w:val="single" w:color="auto" w:sz="8" w:space="0"/>
            </w:tcBorders>
            <w:noWrap w:val="0"/>
            <w:tcMar>
              <w:left w:w="108" w:type="dxa"/>
              <w:right w:w="108" w:type="dxa"/>
            </w:tcMar>
            <w:vAlign w:val="center"/>
          </w:tcPr>
          <w:p w14:paraId="101B4D0F">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251783.7</w:t>
            </w:r>
          </w:p>
        </w:tc>
        <w:tc>
          <w:tcPr>
            <w:tcW w:w="2062" w:type="dxa"/>
            <w:tcBorders>
              <w:top w:val="nil"/>
              <w:left w:val="nil"/>
              <w:bottom w:val="nil"/>
              <w:right w:val="nil"/>
            </w:tcBorders>
            <w:noWrap w:val="0"/>
            <w:tcMar>
              <w:left w:w="108" w:type="dxa"/>
              <w:right w:w="108" w:type="dxa"/>
            </w:tcMar>
            <w:vAlign w:val="center"/>
          </w:tcPr>
          <w:p w14:paraId="5EF2C108">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22.7</w:t>
            </w:r>
          </w:p>
        </w:tc>
      </w:tr>
      <w:tr w14:paraId="0BC94722">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0A38B54F">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饮料类</w:t>
            </w:r>
          </w:p>
        </w:tc>
        <w:tc>
          <w:tcPr>
            <w:tcW w:w="1523" w:type="dxa"/>
            <w:tcBorders>
              <w:top w:val="nil"/>
              <w:left w:val="nil"/>
              <w:bottom w:val="nil"/>
              <w:right w:val="single" w:color="auto" w:sz="8" w:space="0"/>
            </w:tcBorders>
            <w:noWrap w:val="0"/>
            <w:tcMar>
              <w:left w:w="108" w:type="dxa"/>
              <w:right w:w="108" w:type="dxa"/>
            </w:tcMar>
            <w:vAlign w:val="center"/>
          </w:tcPr>
          <w:p w14:paraId="59219140">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48607.2</w:t>
            </w:r>
          </w:p>
        </w:tc>
        <w:tc>
          <w:tcPr>
            <w:tcW w:w="2062" w:type="dxa"/>
            <w:tcBorders>
              <w:top w:val="nil"/>
              <w:left w:val="nil"/>
              <w:bottom w:val="nil"/>
              <w:right w:val="nil"/>
            </w:tcBorders>
            <w:noWrap w:val="0"/>
            <w:tcMar>
              <w:left w:w="108" w:type="dxa"/>
              <w:right w:w="108" w:type="dxa"/>
            </w:tcMar>
            <w:vAlign w:val="center"/>
          </w:tcPr>
          <w:p w14:paraId="0EAA47B7">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29.7</w:t>
            </w:r>
          </w:p>
        </w:tc>
      </w:tr>
      <w:tr w14:paraId="4F941592">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6B5C81B4">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烟酒类</w:t>
            </w:r>
          </w:p>
        </w:tc>
        <w:tc>
          <w:tcPr>
            <w:tcW w:w="1523" w:type="dxa"/>
            <w:tcBorders>
              <w:top w:val="nil"/>
              <w:left w:val="nil"/>
              <w:bottom w:val="nil"/>
              <w:right w:val="single" w:color="auto" w:sz="8" w:space="0"/>
            </w:tcBorders>
            <w:noWrap w:val="0"/>
            <w:tcMar>
              <w:left w:w="108" w:type="dxa"/>
              <w:right w:w="108" w:type="dxa"/>
            </w:tcMar>
            <w:vAlign w:val="center"/>
          </w:tcPr>
          <w:p w14:paraId="79F0E802">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61837.3</w:t>
            </w:r>
          </w:p>
        </w:tc>
        <w:tc>
          <w:tcPr>
            <w:tcW w:w="2062" w:type="dxa"/>
            <w:tcBorders>
              <w:top w:val="nil"/>
              <w:left w:val="nil"/>
              <w:bottom w:val="nil"/>
              <w:right w:val="nil"/>
            </w:tcBorders>
            <w:noWrap w:val="0"/>
            <w:tcMar>
              <w:left w:w="108" w:type="dxa"/>
              <w:right w:w="108" w:type="dxa"/>
            </w:tcMar>
            <w:vAlign w:val="center"/>
          </w:tcPr>
          <w:p w14:paraId="15034378">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7.1</w:t>
            </w:r>
          </w:p>
        </w:tc>
      </w:tr>
      <w:tr w14:paraId="4086316B">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3355B52F">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服装、鞋帽、针纺织品类</w:t>
            </w:r>
          </w:p>
        </w:tc>
        <w:tc>
          <w:tcPr>
            <w:tcW w:w="1523" w:type="dxa"/>
            <w:tcBorders>
              <w:top w:val="nil"/>
              <w:left w:val="nil"/>
              <w:bottom w:val="nil"/>
              <w:right w:val="single" w:color="auto" w:sz="8" w:space="0"/>
            </w:tcBorders>
            <w:noWrap w:val="0"/>
            <w:tcMar>
              <w:left w:w="108" w:type="dxa"/>
              <w:right w:w="108" w:type="dxa"/>
            </w:tcMar>
            <w:vAlign w:val="center"/>
          </w:tcPr>
          <w:p w14:paraId="70D2A26C">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30210.9</w:t>
            </w:r>
          </w:p>
        </w:tc>
        <w:tc>
          <w:tcPr>
            <w:tcW w:w="2062" w:type="dxa"/>
            <w:tcBorders>
              <w:top w:val="nil"/>
              <w:left w:val="nil"/>
              <w:bottom w:val="nil"/>
              <w:right w:val="nil"/>
            </w:tcBorders>
            <w:noWrap w:val="0"/>
            <w:tcMar>
              <w:left w:w="108" w:type="dxa"/>
              <w:right w:w="108" w:type="dxa"/>
            </w:tcMar>
            <w:vAlign w:val="center"/>
          </w:tcPr>
          <w:p w14:paraId="06558FE1">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11.1</w:t>
            </w:r>
          </w:p>
        </w:tc>
      </w:tr>
      <w:tr w14:paraId="1BB48915">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4684C1B0">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化妆品类</w:t>
            </w:r>
          </w:p>
        </w:tc>
        <w:tc>
          <w:tcPr>
            <w:tcW w:w="1523" w:type="dxa"/>
            <w:tcBorders>
              <w:top w:val="nil"/>
              <w:left w:val="nil"/>
              <w:bottom w:val="nil"/>
              <w:right w:val="single" w:color="auto" w:sz="8" w:space="0"/>
            </w:tcBorders>
            <w:noWrap w:val="0"/>
            <w:tcMar>
              <w:left w:w="108" w:type="dxa"/>
              <w:right w:w="108" w:type="dxa"/>
            </w:tcMar>
            <w:vAlign w:val="center"/>
          </w:tcPr>
          <w:p w14:paraId="7F5C976B">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14338.3</w:t>
            </w:r>
          </w:p>
        </w:tc>
        <w:tc>
          <w:tcPr>
            <w:tcW w:w="2062" w:type="dxa"/>
            <w:tcBorders>
              <w:top w:val="nil"/>
              <w:left w:val="nil"/>
              <w:bottom w:val="nil"/>
              <w:right w:val="nil"/>
            </w:tcBorders>
            <w:noWrap w:val="0"/>
            <w:tcMar>
              <w:left w:w="108" w:type="dxa"/>
              <w:right w:w="108" w:type="dxa"/>
            </w:tcMar>
            <w:vAlign w:val="center"/>
          </w:tcPr>
          <w:p w14:paraId="084C5789">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19.2</w:t>
            </w:r>
          </w:p>
        </w:tc>
      </w:tr>
      <w:tr w14:paraId="3E177EC2">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3BDA5D1D">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金银珠宝类</w:t>
            </w:r>
          </w:p>
        </w:tc>
        <w:tc>
          <w:tcPr>
            <w:tcW w:w="1523" w:type="dxa"/>
            <w:tcBorders>
              <w:top w:val="nil"/>
              <w:left w:val="nil"/>
              <w:bottom w:val="nil"/>
              <w:right w:val="single" w:color="auto" w:sz="8" w:space="0"/>
            </w:tcBorders>
            <w:noWrap w:val="0"/>
            <w:tcMar>
              <w:left w:w="108" w:type="dxa"/>
              <w:right w:w="108" w:type="dxa"/>
            </w:tcMar>
            <w:vAlign w:val="center"/>
          </w:tcPr>
          <w:p w14:paraId="7054FCFA">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1148.7</w:t>
            </w:r>
          </w:p>
        </w:tc>
        <w:tc>
          <w:tcPr>
            <w:tcW w:w="2062" w:type="dxa"/>
            <w:tcBorders>
              <w:top w:val="nil"/>
              <w:left w:val="nil"/>
              <w:bottom w:val="nil"/>
              <w:right w:val="nil"/>
            </w:tcBorders>
            <w:noWrap w:val="0"/>
            <w:tcMar>
              <w:left w:w="108" w:type="dxa"/>
              <w:right w:w="108" w:type="dxa"/>
            </w:tcMar>
            <w:vAlign w:val="center"/>
          </w:tcPr>
          <w:p w14:paraId="14F2AE24">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-12.4</w:t>
            </w:r>
          </w:p>
        </w:tc>
      </w:tr>
      <w:tr w14:paraId="2C587A6F">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52925905">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日用品类</w:t>
            </w:r>
          </w:p>
        </w:tc>
        <w:tc>
          <w:tcPr>
            <w:tcW w:w="1523" w:type="dxa"/>
            <w:tcBorders>
              <w:top w:val="nil"/>
              <w:left w:val="nil"/>
              <w:bottom w:val="nil"/>
              <w:right w:val="single" w:color="auto" w:sz="8" w:space="0"/>
            </w:tcBorders>
            <w:noWrap w:val="0"/>
            <w:tcMar>
              <w:left w:w="108" w:type="dxa"/>
              <w:right w:w="108" w:type="dxa"/>
            </w:tcMar>
            <w:vAlign w:val="center"/>
          </w:tcPr>
          <w:p w14:paraId="43DF3CE1">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40660.0</w:t>
            </w:r>
          </w:p>
        </w:tc>
        <w:tc>
          <w:tcPr>
            <w:tcW w:w="2062" w:type="dxa"/>
            <w:tcBorders>
              <w:top w:val="nil"/>
              <w:left w:val="nil"/>
              <w:bottom w:val="nil"/>
              <w:right w:val="nil"/>
            </w:tcBorders>
            <w:noWrap w:val="0"/>
            <w:tcMar>
              <w:left w:w="108" w:type="dxa"/>
              <w:right w:w="108" w:type="dxa"/>
            </w:tcMar>
            <w:vAlign w:val="center"/>
          </w:tcPr>
          <w:p w14:paraId="06361245">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43.0</w:t>
            </w:r>
          </w:p>
        </w:tc>
      </w:tr>
      <w:tr w14:paraId="550D0BDF">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5FB00245">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五金、电料类</w:t>
            </w:r>
          </w:p>
        </w:tc>
        <w:tc>
          <w:tcPr>
            <w:tcW w:w="1523" w:type="dxa"/>
            <w:tcBorders>
              <w:top w:val="nil"/>
              <w:left w:val="nil"/>
              <w:bottom w:val="nil"/>
              <w:right w:val="single" w:color="auto" w:sz="8" w:space="0"/>
            </w:tcBorders>
            <w:noWrap w:val="0"/>
            <w:tcMar>
              <w:left w:w="108" w:type="dxa"/>
              <w:right w:w="108" w:type="dxa"/>
            </w:tcMar>
            <w:vAlign w:val="center"/>
          </w:tcPr>
          <w:p w14:paraId="720FF8DE">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5895.6</w:t>
            </w:r>
          </w:p>
        </w:tc>
        <w:tc>
          <w:tcPr>
            <w:tcW w:w="2062" w:type="dxa"/>
            <w:tcBorders>
              <w:top w:val="nil"/>
              <w:left w:val="nil"/>
              <w:bottom w:val="nil"/>
              <w:right w:val="nil"/>
            </w:tcBorders>
            <w:noWrap w:val="0"/>
            <w:tcMar>
              <w:left w:w="108" w:type="dxa"/>
              <w:right w:w="108" w:type="dxa"/>
            </w:tcMar>
            <w:vAlign w:val="center"/>
          </w:tcPr>
          <w:p w14:paraId="420A310D">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45.1</w:t>
            </w:r>
          </w:p>
        </w:tc>
      </w:tr>
      <w:tr w14:paraId="583C984D">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29730B6E">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体育、娱乐用品类</w:t>
            </w:r>
          </w:p>
        </w:tc>
        <w:tc>
          <w:tcPr>
            <w:tcW w:w="1523" w:type="dxa"/>
            <w:tcBorders>
              <w:top w:val="nil"/>
              <w:left w:val="nil"/>
              <w:bottom w:val="nil"/>
              <w:right w:val="single" w:color="auto" w:sz="8" w:space="0"/>
            </w:tcBorders>
            <w:noWrap w:val="0"/>
            <w:tcMar>
              <w:left w:w="108" w:type="dxa"/>
              <w:right w:w="108" w:type="dxa"/>
            </w:tcMar>
            <w:vAlign w:val="center"/>
          </w:tcPr>
          <w:p w14:paraId="327F500A">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1184.5</w:t>
            </w:r>
          </w:p>
        </w:tc>
        <w:tc>
          <w:tcPr>
            <w:tcW w:w="2062" w:type="dxa"/>
            <w:tcBorders>
              <w:top w:val="nil"/>
              <w:left w:val="nil"/>
              <w:bottom w:val="nil"/>
              <w:right w:val="nil"/>
            </w:tcBorders>
            <w:noWrap w:val="0"/>
            <w:tcMar>
              <w:left w:w="108" w:type="dxa"/>
              <w:right w:w="108" w:type="dxa"/>
            </w:tcMar>
            <w:vAlign w:val="center"/>
          </w:tcPr>
          <w:p w14:paraId="12C36225">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-12.0</w:t>
            </w:r>
          </w:p>
        </w:tc>
      </w:tr>
      <w:tr w14:paraId="52BC8A0A">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1A6D0300">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书报杂志类</w:t>
            </w:r>
          </w:p>
        </w:tc>
        <w:tc>
          <w:tcPr>
            <w:tcW w:w="1523" w:type="dxa"/>
            <w:tcBorders>
              <w:top w:val="nil"/>
              <w:left w:val="nil"/>
              <w:bottom w:val="nil"/>
              <w:right w:val="single" w:color="auto" w:sz="8" w:space="0"/>
            </w:tcBorders>
            <w:noWrap w:val="0"/>
            <w:tcMar>
              <w:left w:w="108" w:type="dxa"/>
              <w:right w:w="108" w:type="dxa"/>
            </w:tcMar>
            <w:vAlign w:val="center"/>
          </w:tcPr>
          <w:p w14:paraId="3471901F">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45138.2</w:t>
            </w:r>
          </w:p>
        </w:tc>
        <w:tc>
          <w:tcPr>
            <w:tcW w:w="2062" w:type="dxa"/>
            <w:tcBorders>
              <w:top w:val="nil"/>
              <w:left w:val="nil"/>
              <w:bottom w:val="nil"/>
              <w:right w:val="nil"/>
            </w:tcBorders>
            <w:noWrap w:val="0"/>
            <w:tcMar>
              <w:left w:w="108" w:type="dxa"/>
              <w:right w:w="108" w:type="dxa"/>
            </w:tcMar>
            <w:vAlign w:val="center"/>
          </w:tcPr>
          <w:p w14:paraId="0AAF9046">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0.5</w:t>
            </w:r>
          </w:p>
        </w:tc>
      </w:tr>
      <w:tr w14:paraId="39563D73">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3C5024AB">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家用电器和音像器材类</w:t>
            </w:r>
          </w:p>
        </w:tc>
        <w:tc>
          <w:tcPr>
            <w:tcW w:w="1523" w:type="dxa"/>
            <w:tcBorders>
              <w:top w:val="nil"/>
              <w:left w:val="nil"/>
              <w:bottom w:val="nil"/>
              <w:right w:val="single" w:color="auto" w:sz="8" w:space="0"/>
            </w:tcBorders>
            <w:noWrap w:val="0"/>
            <w:tcMar>
              <w:left w:w="108" w:type="dxa"/>
              <w:right w:w="108" w:type="dxa"/>
            </w:tcMar>
            <w:vAlign w:val="center"/>
          </w:tcPr>
          <w:p w14:paraId="6977C4B6">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212735.5</w:t>
            </w:r>
          </w:p>
        </w:tc>
        <w:tc>
          <w:tcPr>
            <w:tcW w:w="2062" w:type="dxa"/>
            <w:tcBorders>
              <w:top w:val="nil"/>
              <w:left w:val="nil"/>
              <w:bottom w:val="nil"/>
              <w:right w:val="nil"/>
            </w:tcBorders>
            <w:noWrap w:val="0"/>
            <w:tcMar>
              <w:left w:w="108" w:type="dxa"/>
              <w:right w:w="108" w:type="dxa"/>
            </w:tcMar>
            <w:vAlign w:val="center"/>
          </w:tcPr>
          <w:p w14:paraId="585E25A7">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20.5</w:t>
            </w:r>
          </w:p>
        </w:tc>
      </w:tr>
      <w:tr w14:paraId="3B3A3A18">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512C8E55">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中西药品类</w:t>
            </w:r>
          </w:p>
        </w:tc>
        <w:tc>
          <w:tcPr>
            <w:tcW w:w="1523" w:type="dxa"/>
            <w:tcBorders>
              <w:top w:val="nil"/>
              <w:left w:val="nil"/>
              <w:bottom w:val="nil"/>
              <w:right w:val="single" w:color="auto" w:sz="8" w:space="0"/>
            </w:tcBorders>
            <w:noWrap w:val="0"/>
            <w:tcMar>
              <w:left w:w="108" w:type="dxa"/>
              <w:right w:w="108" w:type="dxa"/>
            </w:tcMar>
            <w:vAlign w:val="center"/>
          </w:tcPr>
          <w:p w14:paraId="315E6681">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116823.7</w:t>
            </w:r>
          </w:p>
        </w:tc>
        <w:tc>
          <w:tcPr>
            <w:tcW w:w="2062" w:type="dxa"/>
            <w:tcBorders>
              <w:top w:val="nil"/>
              <w:left w:val="nil"/>
              <w:bottom w:val="nil"/>
              <w:right w:val="nil"/>
            </w:tcBorders>
            <w:noWrap w:val="0"/>
            <w:tcMar>
              <w:left w:w="108" w:type="dxa"/>
              <w:right w:w="108" w:type="dxa"/>
            </w:tcMar>
            <w:vAlign w:val="center"/>
          </w:tcPr>
          <w:p w14:paraId="0A92D672">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14.3</w:t>
            </w:r>
          </w:p>
        </w:tc>
      </w:tr>
      <w:tr w14:paraId="45EA3A1E">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54020FDC">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文化办公用品类</w:t>
            </w:r>
          </w:p>
        </w:tc>
        <w:tc>
          <w:tcPr>
            <w:tcW w:w="1523" w:type="dxa"/>
            <w:tcBorders>
              <w:top w:val="nil"/>
              <w:left w:val="nil"/>
              <w:bottom w:val="nil"/>
              <w:right w:val="single" w:color="auto" w:sz="8" w:space="0"/>
            </w:tcBorders>
            <w:noWrap w:val="0"/>
            <w:tcMar>
              <w:left w:w="108" w:type="dxa"/>
              <w:right w:w="108" w:type="dxa"/>
            </w:tcMar>
            <w:vAlign w:val="center"/>
          </w:tcPr>
          <w:p w14:paraId="2B215B4E">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20394.1</w:t>
            </w:r>
          </w:p>
        </w:tc>
        <w:tc>
          <w:tcPr>
            <w:tcW w:w="2062" w:type="dxa"/>
            <w:tcBorders>
              <w:top w:val="nil"/>
              <w:left w:val="nil"/>
              <w:bottom w:val="nil"/>
              <w:right w:val="nil"/>
            </w:tcBorders>
            <w:noWrap w:val="0"/>
            <w:tcMar>
              <w:left w:w="108" w:type="dxa"/>
              <w:right w:w="108" w:type="dxa"/>
            </w:tcMar>
            <w:vAlign w:val="center"/>
          </w:tcPr>
          <w:p w14:paraId="3635B85D">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2.7</w:t>
            </w:r>
          </w:p>
        </w:tc>
      </w:tr>
      <w:tr w14:paraId="0145A3F6">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1DD8217A">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家具类</w:t>
            </w:r>
          </w:p>
        </w:tc>
        <w:tc>
          <w:tcPr>
            <w:tcW w:w="1523" w:type="dxa"/>
            <w:tcBorders>
              <w:top w:val="nil"/>
              <w:left w:val="nil"/>
              <w:bottom w:val="nil"/>
              <w:right w:val="single" w:color="auto" w:sz="8" w:space="0"/>
            </w:tcBorders>
            <w:noWrap w:val="0"/>
            <w:tcMar>
              <w:left w:w="108" w:type="dxa"/>
              <w:right w:w="108" w:type="dxa"/>
            </w:tcMar>
            <w:vAlign w:val="center"/>
          </w:tcPr>
          <w:p w14:paraId="4448CEDF">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8650.6</w:t>
            </w:r>
          </w:p>
        </w:tc>
        <w:tc>
          <w:tcPr>
            <w:tcW w:w="2062" w:type="dxa"/>
            <w:tcBorders>
              <w:top w:val="nil"/>
              <w:left w:val="nil"/>
              <w:bottom w:val="nil"/>
              <w:right w:val="nil"/>
            </w:tcBorders>
            <w:noWrap w:val="0"/>
            <w:tcMar>
              <w:left w:w="108" w:type="dxa"/>
              <w:right w:w="108" w:type="dxa"/>
            </w:tcMar>
            <w:vAlign w:val="center"/>
          </w:tcPr>
          <w:p w14:paraId="47C3A7CE">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-14.0</w:t>
            </w:r>
          </w:p>
        </w:tc>
      </w:tr>
      <w:tr w14:paraId="0F31532B">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4CB4512E">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通讯器材类</w:t>
            </w:r>
          </w:p>
        </w:tc>
        <w:tc>
          <w:tcPr>
            <w:tcW w:w="1523" w:type="dxa"/>
            <w:tcBorders>
              <w:top w:val="nil"/>
              <w:left w:val="nil"/>
              <w:bottom w:val="nil"/>
              <w:right w:val="single" w:color="auto" w:sz="8" w:space="0"/>
            </w:tcBorders>
            <w:noWrap w:val="0"/>
            <w:tcMar>
              <w:left w:w="108" w:type="dxa"/>
              <w:right w:w="108" w:type="dxa"/>
            </w:tcMar>
            <w:vAlign w:val="center"/>
          </w:tcPr>
          <w:p w14:paraId="6C098B7E">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119338.0</w:t>
            </w:r>
          </w:p>
        </w:tc>
        <w:tc>
          <w:tcPr>
            <w:tcW w:w="2062" w:type="dxa"/>
            <w:tcBorders>
              <w:top w:val="nil"/>
              <w:left w:val="nil"/>
              <w:bottom w:val="nil"/>
              <w:right w:val="nil"/>
            </w:tcBorders>
            <w:noWrap w:val="0"/>
            <w:tcMar>
              <w:left w:w="108" w:type="dxa"/>
              <w:right w:w="108" w:type="dxa"/>
            </w:tcMar>
            <w:vAlign w:val="center"/>
          </w:tcPr>
          <w:p w14:paraId="0BE86AB1">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96.4</w:t>
            </w:r>
          </w:p>
        </w:tc>
      </w:tr>
      <w:tr w14:paraId="490BCF01">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5F408DC1">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石油及制品类</w:t>
            </w:r>
          </w:p>
        </w:tc>
        <w:tc>
          <w:tcPr>
            <w:tcW w:w="1523" w:type="dxa"/>
            <w:tcBorders>
              <w:top w:val="nil"/>
              <w:left w:val="nil"/>
              <w:bottom w:val="nil"/>
              <w:right w:val="single" w:color="auto" w:sz="8" w:space="0"/>
            </w:tcBorders>
            <w:noWrap w:val="0"/>
            <w:tcMar>
              <w:left w:w="108" w:type="dxa"/>
              <w:right w:w="108" w:type="dxa"/>
            </w:tcMar>
            <w:vAlign w:val="center"/>
          </w:tcPr>
          <w:p w14:paraId="2B4A627F">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339826.4</w:t>
            </w:r>
          </w:p>
        </w:tc>
        <w:tc>
          <w:tcPr>
            <w:tcW w:w="2062" w:type="dxa"/>
            <w:tcBorders>
              <w:top w:val="nil"/>
              <w:left w:val="nil"/>
              <w:bottom w:val="nil"/>
              <w:right w:val="nil"/>
            </w:tcBorders>
            <w:noWrap w:val="0"/>
            <w:tcMar>
              <w:left w:w="108" w:type="dxa"/>
              <w:right w:w="108" w:type="dxa"/>
            </w:tcMar>
            <w:vAlign w:val="center"/>
          </w:tcPr>
          <w:p w14:paraId="61FD2FF7">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8.5</w:t>
            </w:r>
          </w:p>
        </w:tc>
      </w:tr>
      <w:tr w14:paraId="4E5C5606">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72CF37B7">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建筑及装潢材料类</w:t>
            </w:r>
          </w:p>
        </w:tc>
        <w:tc>
          <w:tcPr>
            <w:tcW w:w="1523" w:type="dxa"/>
            <w:tcBorders>
              <w:top w:val="nil"/>
              <w:left w:val="nil"/>
              <w:bottom w:val="nil"/>
              <w:right w:val="single" w:color="auto" w:sz="8" w:space="0"/>
            </w:tcBorders>
            <w:noWrap w:val="0"/>
            <w:tcMar>
              <w:left w:w="108" w:type="dxa"/>
              <w:right w:w="108" w:type="dxa"/>
            </w:tcMar>
            <w:vAlign w:val="center"/>
          </w:tcPr>
          <w:p w14:paraId="0D3EE21E">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24155.3</w:t>
            </w:r>
          </w:p>
        </w:tc>
        <w:tc>
          <w:tcPr>
            <w:tcW w:w="2062" w:type="dxa"/>
            <w:tcBorders>
              <w:top w:val="nil"/>
              <w:left w:val="nil"/>
              <w:bottom w:val="nil"/>
              <w:right w:val="nil"/>
            </w:tcBorders>
            <w:noWrap w:val="0"/>
            <w:tcMar>
              <w:left w:w="108" w:type="dxa"/>
              <w:right w:w="108" w:type="dxa"/>
            </w:tcMar>
            <w:vAlign w:val="center"/>
          </w:tcPr>
          <w:p w14:paraId="08CF4030">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75.7</w:t>
            </w:r>
          </w:p>
        </w:tc>
      </w:tr>
      <w:tr w14:paraId="6271FF59">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933" w:type="dxa"/>
            <w:tcBorders>
              <w:top w:val="nil"/>
              <w:left w:val="nil"/>
              <w:bottom w:val="nil"/>
              <w:right w:val="single" w:color="000000" w:sz="8" w:space="0"/>
            </w:tcBorders>
            <w:noWrap w:val="0"/>
            <w:tcMar>
              <w:left w:w="108" w:type="dxa"/>
              <w:right w:w="108" w:type="dxa"/>
            </w:tcMar>
            <w:vAlign w:val="center"/>
          </w:tcPr>
          <w:p w14:paraId="2CEBEC84">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汽车类</w:t>
            </w:r>
          </w:p>
        </w:tc>
        <w:tc>
          <w:tcPr>
            <w:tcW w:w="1523" w:type="dxa"/>
            <w:tcBorders>
              <w:top w:val="nil"/>
              <w:left w:val="nil"/>
              <w:bottom w:val="nil"/>
              <w:right w:val="single" w:color="auto" w:sz="8" w:space="0"/>
            </w:tcBorders>
            <w:noWrap w:val="0"/>
            <w:tcMar>
              <w:left w:w="108" w:type="dxa"/>
              <w:right w:w="108" w:type="dxa"/>
            </w:tcMar>
            <w:vAlign w:val="center"/>
          </w:tcPr>
          <w:p w14:paraId="02B2450A">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765252.1</w:t>
            </w:r>
          </w:p>
        </w:tc>
        <w:tc>
          <w:tcPr>
            <w:tcW w:w="2062" w:type="dxa"/>
            <w:tcBorders>
              <w:top w:val="nil"/>
              <w:left w:val="nil"/>
              <w:bottom w:val="nil"/>
              <w:right w:val="nil"/>
            </w:tcBorders>
            <w:noWrap w:val="0"/>
            <w:tcMar>
              <w:left w:w="108" w:type="dxa"/>
              <w:right w:w="108" w:type="dxa"/>
            </w:tcMar>
            <w:vAlign w:val="center"/>
          </w:tcPr>
          <w:p w14:paraId="77B59D54">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-7.2</w:t>
            </w:r>
          </w:p>
        </w:tc>
      </w:tr>
      <w:tr w14:paraId="2A553B46">
        <w:tblPrEx>
          <w:tblBorders>
            <w:top w:val="single" w:color="F2F2F2" w:sz="6" w:space="0"/>
            <w:left w:val="single" w:color="F2F2F2" w:sz="6" w:space="0"/>
            <w:bottom w:val="single" w:color="F2F2F2" w:sz="6" w:space="0"/>
            <w:right w:val="single" w:color="F2F2F2" w:sz="6" w:space="0"/>
            <w:insideH w:val="none" w:color="auto" w:sz="0" w:space="0"/>
            <w:insideV w:val="none" w:color="auto" w:sz="0" w:space="0"/>
          </w:tblBorders>
          <w:tblCellMar>
            <w:top w:w="0" w:type="dxa"/>
            <w:left w:w="0" w:type="dxa"/>
            <w:bottom w:w="0" w:type="dxa"/>
            <w:right w:w="0" w:type="dxa"/>
          </w:tblCellMar>
        </w:tblPrEx>
        <w:trPr>
          <w:trHeight w:val="696" w:hRule="atLeast"/>
          <w:jc w:val="center"/>
        </w:trPr>
        <w:tc>
          <w:tcPr>
            <w:tcW w:w="3933" w:type="dxa"/>
            <w:tcBorders>
              <w:top w:val="nil"/>
              <w:left w:val="nil"/>
              <w:bottom w:val="single" w:color="000000" w:sz="8" w:space="0"/>
              <w:right w:val="single" w:color="000000" w:sz="8" w:space="0"/>
            </w:tcBorders>
            <w:noWrap w:val="0"/>
            <w:tcMar>
              <w:left w:w="108" w:type="dxa"/>
              <w:right w:w="108" w:type="dxa"/>
            </w:tcMar>
            <w:vAlign w:val="center"/>
          </w:tcPr>
          <w:p w14:paraId="085B3A0D">
            <w:pP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其他未列明商品类</w:t>
            </w:r>
          </w:p>
        </w:tc>
        <w:tc>
          <w:tcPr>
            <w:tcW w:w="1523" w:type="dxa"/>
            <w:tcBorders>
              <w:top w:val="nil"/>
              <w:left w:val="nil"/>
              <w:bottom w:val="single" w:color="000000" w:sz="8" w:space="0"/>
              <w:right w:val="single" w:color="auto" w:sz="8" w:space="0"/>
            </w:tcBorders>
            <w:noWrap w:val="0"/>
            <w:tcMar>
              <w:left w:w="108" w:type="dxa"/>
              <w:right w:w="108" w:type="dxa"/>
            </w:tcMar>
            <w:vAlign w:val="center"/>
          </w:tcPr>
          <w:p w14:paraId="04FCD12D">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37869.2</w:t>
            </w:r>
          </w:p>
        </w:tc>
        <w:tc>
          <w:tcPr>
            <w:tcW w:w="2062" w:type="dxa"/>
            <w:tcBorders>
              <w:top w:val="nil"/>
              <w:left w:val="nil"/>
              <w:bottom w:val="single" w:color="000000" w:sz="8" w:space="0"/>
              <w:right w:val="nil"/>
            </w:tcBorders>
            <w:noWrap w:val="0"/>
            <w:tcMar>
              <w:left w:w="108" w:type="dxa"/>
              <w:right w:w="108" w:type="dxa"/>
            </w:tcMar>
            <w:vAlign w:val="center"/>
          </w:tcPr>
          <w:p w14:paraId="3DE022AE">
            <w:pPr>
              <w:jc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15.4</w:t>
            </w:r>
          </w:p>
        </w:tc>
      </w:tr>
    </w:tbl>
    <w:p w14:paraId="13C896D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color="auto" w:fill="FFFFFF"/>
        </w:rPr>
      </w:pPr>
    </w:p>
    <w:p w14:paraId="47D5E9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42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七、对外经济</w:t>
      </w:r>
    </w:p>
    <w:p w14:paraId="682B12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left"/>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全年全市货物进出口总值106.2亿元，比上年增长33.7%。其中，出口总值86亿元，比上年增长43.8%；进口总值20.2亿元，比上年增长3%。</w:t>
      </w:r>
    </w:p>
    <w:p w14:paraId="04CDF65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left"/>
        <w:textAlignment w:val="auto"/>
        <w:rPr>
          <w:rFonts w:hint="eastAsia" w:ascii="仿宋_GB2312" w:hAnsi="仿宋_GB2312" w:eastAsia="仿宋_GB2312" w:cs="仿宋_GB2312"/>
          <w:i w:val="0"/>
          <w:caps w:val="0"/>
          <w:color w:val="auto"/>
          <w:spacing w:val="0"/>
          <w:sz w:val="32"/>
          <w:szCs w:val="32"/>
          <w:highlight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全年全市新设立外资企业29个，实际使用外资6754万美元，比上年增长91%。对外直接投资1084万美元。</w:t>
      </w:r>
    </w:p>
    <w:p w14:paraId="63515A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42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八、财政金融和保险</w:t>
      </w:r>
    </w:p>
    <w:p w14:paraId="4C97C8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全年全市财政总收入</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403.6</w:t>
      </w:r>
      <w:r>
        <w:rPr>
          <w:rFonts w:hint="eastAsia" w:ascii="仿宋_GB2312" w:hAnsi="仿宋_GB2312" w:eastAsia="仿宋_GB2312" w:cs="仿宋_GB2312"/>
          <w:i w:val="0"/>
          <w:caps w:val="0"/>
          <w:color w:val="auto"/>
          <w:spacing w:val="0"/>
          <w:sz w:val="32"/>
          <w:szCs w:val="32"/>
          <w:highlight w:val="none"/>
          <w:u w:val="none"/>
          <w:shd w:val="clear" w:color="auto" w:fill="FFFFFF"/>
        </w:rPr>
        <w:t>亿元，比上年增长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2.0</w:t>
      </w:r>
      <w:r>
        <w:rPr>
          <w:rFonts w:hint="eastAsia" w:ascii="仿宋_GB2312" w:hAnsi="仿宋_GB2312" w:eastAsia="仿宋_GB2312" w:cs="仿宋_GB2312"/>
          <w:i w:val="0"/>
          <w:caps w:val="0"/>
          <w:color w:val="auto"/>
          <w:spacing w:val="0"/>
          <w:sz w:val="32"/>
          <w:szCs w:val="32"/>
          <w:highlight w:val="none"/>
          <w:u w:val="none"/>
          <w:shd w:val="clear" w:color="auto" w:fill="FFFFFF"/>
        </w:rPr>
        <w:t>%。一般公共预算收入</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244.2</w:t>
      </w:r>
      <w:r>
        <w:rPr>
          <w:rFonts w:hint="eastAsia" w:ascii="仿宋_GB2312" w:hAnsi="仿宋_GB2312" w:eastAsia="仿宋_GB2312" w:cs="仿宋_GB2312"/>
          <w:i w:val="0"/>
          <w:caps w:val="0"/>
          <w:color w:val="auto"/>
          <w:spacing w:val="0"/>
          <w:sz w:val="32"/>
          <w:szCs w:val="32"/>
          <w:highlight w:val="none"/>
          <w:u w:val="none"/>
          <w:shd w:val="clear" w:color="auto" w:fill="FFFFFF"/>
        </w:rPr>
        <w:t>亿元，增长</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1.5</w:t>
      </w:r>
      <w:r>
        <w:rPr>
          <w:rFonts w:hint="eastAsia" w:ascii="仿宋_GB2312" w:hAnsi="仿宋_GB2312" w:eastAsia="仿宋_GB2312" w:cs="仿宋_GB2312"/>
          <w:i w:val="0"/>
          <w:caps w:val="0"/>
          <w:color w:val="auto"/>
          <w:spacing w:val="0"/>
          <w:sz w:val="32"/>
          <w:szCs w:val="32"/>
          <w:highlight w:val="none"/>
          <w:u w:val="none"/>
          <w:shd w:val="clear" w:color="auto" w:fill="FFFFFF"/>
        </w:rPr>
        <w:t>%，其中税收收入</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146.5</w:t>
      </w:r>
      <w:r>
        <w:rPr>
          <w:rFonts w:hint="eastAsia" w:ascii="仿宋_GB2312" w:hAnsi="仿宋_GB2312" w:eastAsia="仿宋_GB2312" w:cs="仿宋_GB2312"/>
          <w:i w:val="0"/>
          <w:caps w:val="0"/>
          <w:color w:val="auto"/>
          <w:spacing w:val="0"/>
          <w:sz w:val="32"/>
          <w:szCs w:val="32"/>
          <w:highlight w:val="none"/>
          <w:u w:val="none"/>
          <w:shd w:val="clear" w:color="auto" w:fill="FFFFFF"/>
        </w:rPr>
        <w:t>亿元，</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0.2</w:t>
      </w:r>
      <w:r>
        <w:rPr>
          <w:rFonts w:hint="eastAsia" w:ascii="仿宋_GB2312" w:hAnsi="仿宋_GB2312" w:eastAsia="仿宋_GB2312" w:cs="仿宋_GB2312"/>
          <w:i w:val="0"/>
          <w:caps w:val="0"/>
          <w:color w:val="auto"/>
          <w:spacing w:val="0"/>
          <w:sz w:val="32"/>
          <w:szCs w:val="32"/>
          <w:highlight w:val="none"/>
          <w:u w:val="none"/>
          <w:shd w:val="clear" w:color="auto" w:fill="FFFFFF"/>
        </w:rPr>
        <w:t>%，占一般公共预算收入的比重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60</w:t>
      </w:r>
      <w:r>
        <w:rPr>
          <w:rFonts w:hint="eastAsia" w:ascii="仿宋_GB2312" w:hAnsi="仿宋_GB2312" w:eastAsia="仿宋_GB2312" w:cs="仿宋_GB2312"/>
          <w:i w:val="0"/>
          <w:caps w:val="0"/>
          <w:color w:val="auto"/>
          <w:spacing w:val="0"/>
          <w:sz w:val="32"/>
          <w:szCs w:val="32"/>
          <w:highlight w:val="none"/>
          <w:u w:val="none"/>
          <w:shd w:val="clear" w:color="auto" w:fill="FFFFFF"/>
        </w:rPr>
        <w:t>%；一般公共预算支出</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458.9</w:t>
      </w:r>
      <w:r>
        <w:rPr>
          <w:rFonts w:hint="eastAsia" w:ascii="仿宋_GB2312" w:hAnsi="仿宋_GB2312" w:eastAsia="仿宋_GB2312" w:cs="仿宋_GB2312"/>
          <w:i w:val="0"/>
          <w:caps w:val="0"/>
          <w:color w:val="auto"/>
          <w:spacing w:val="0"/>
          <w:sz w:val="32"/>
          <w:szCs w:val="32"/>
          <w:highlight w:val="none"/>
          <w:u w:val="none"/>
          <w:shd w:val="clear" w:color="auto" w:fill="FFFFFF"/>
        </w:rPr>
        <w:t>亿元，增长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1.7</w:t>
      </w:r>
      <w:r>
        <w:rPr>
          <w:rFonts w:hint="eastAsia" w:ascii="仿宋_GB2312" w:hAnsi="仿宋_GB2312" w:eastAsia="仿宋_GB2312" w:cs="仿宋_GB2312"/>
          <w:i w:val="0"/>
          <w:caps w:val="0"/>
          <w:color w:val="auto"/>
          <w:spacing w:val="0"/>
          <w:sz w:val="32"/>
          <w:szCs w:val="32"/>
          <w:highlight w:val="none"/>
          <w:u w:val="none"/>
          <w:shd w:val="clear" w:color="auto" w:fill="FFFFFF"/>
        </w:rPr>
        <w:t>%，其中，</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九项</w:t>
      </w:r>
      <w:r>
        <w:rPr>
          <w:rFonts w:hint="eastAsia" w:ascii="仿宋_GB2312" w:hAnsi="仿宋_GB2312" w:eastAsia="仿宋_GB2312" w:cs="仿宋_GB2312"/>
          <w:i w:val="0"/>
          <w:caps w:val="0"/>
          <w:color w:val="auto"/>
          <w:spacing w:val="0"/>
          <w:sz w:val="32"/>
          <w:szCs w:val="32"/>
          <w:highlight w:val="none"/>
          <w:u w:val="none"/>
          <w:shd w:val="clear" w:color="auto" w:fill="FFFFFF"/>
        </w:rPr>
        <w:t>民生</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支出</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329.5亿元，增长4.0%</w:t>
      </w:r>
      <w:r>
        <w:rPr>
          <w:rFonts w:hint="eastAsia" w:ascii="仿宋_GB2312" w:hAnsi="仿宋_GB2312" w:eastAsia="仿宋_GB2312" w:cs="仿宋_GB2312"/>
          <w:i w:val="0"/>
          <w:caps w:val="0"/>
          <w:color w:val="auto"/>
          <w:spacing w:val="0"/>
          <w:sz w:val="32"/>
          <w:szCs w:val="32"/>
          <w:highlight w:val="none"/>
          <w:u w:val="none"/>
          <w:shd w:val="clear" w:color="auto" w:fill="FFFFFF"/>
        </w:rPr>
        <w:t>，占一般公共预算支出的比重</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71.8</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44D496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年末全市金融机构人民币各项存款余额</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5314.5</w:t>
      </w:r>
      <w:r>
        <w:rPr>
          <w:rFonts w:hint="eastAsia" w:ascii="仿宋_GB2312" w:hAnsi="仿宋_GB2312" w:eastAsia="仿宋_GB2312" w:cs="仿宋_GB2312"/>
          <w:i w:val="0"/>
          <w:caps w:val="0"/>
          <w:color w:val="auto"/>
          <w:spacing w:val="0"/>
          <w:sz w:val="32"/>
          <w:szCs w:val="32"/>
          <w:highlight w:val="none"/>
          <w:u w:val="none"/>
          <w:shd w:val="clear" w:color="auto" w:fill="FFFFFF"/>
        </w:rPr>
        <w:t>亿元，比年初增加</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459.0</w:t>
      </w:r>
      <w:r>
        <w:rPr>
          <w:rFonts w:hint="eastAsia" w:ascii="仿宋_GB2312" w:hAnsi="仿宋_GB2312" w:eastAsia="仿宋_GB2312" w:cs="仿宋_GB2312"/>
          <w:i w:val="0"/>
          <w:caps w:val="0"/>
          <w:color w:val="auto"/>
          <w:spacing w:val="0"/>
          <w:sz w:val="32"/>
          <w:szCs w:val="32"/>
          <w:highlight w:val="none"/>
          <w:u w:val="none"/>
          <w:shd w:val="clear" w:color="auto" w:fill="FFFFFF"/>
        </w:rPr>
        <w:t>亿元；人民币各项贷款余额</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3268.0</w:t>
      </w:r>
      <w:r>
        <w:rPr>
          <w:rFonts w:hint="eastAsia" w:ascii="仿宋_GB2312" w:hAnsi="仿宋_GB2312" w:eastAsia="仿宋_GB2312" w:cs="仿宋_GB2312"/>
          <w:i w:val="0"/>
          <w:caps w:val="0"/>
          <w:color w:val="auto"/>
          <w:spacing w:val="0"/>
          <w:sz w:val="32"/>
          <w:szCs w:val="32"/>
          <w:highlight w:val="none"/>
          <w:u w:val="none"/>
          <w:shd w:val="clear" w:color="auto" w:fill="FFFFFF"/>
        </w:rPr>
        <w:t>亿元，比年初增加</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190.3</w:t>
      </w:r>
      <w:r>
        <w:rPr>
          <w:rFonts w:hint="eastAsia" w:ascii="仿宋_GB2312" w:hAnsi="仿宋_GB2312" w:eastAsia="仿宋_GB2312" w:cs="仿宋_GB2312"/>
          <w:i w:val="0"/>
          <w:caps w:val="0"/>
          <w:color w:val="auto"/>
          <w:spacing w:val="0"/>
          <w:sz w:val="32"/>
          <w:szCs w:val="32"/>
          <w:highlight w:val="none"/>
          <w:u w:val="none"/>
          <w:shd w:val="clear" w:color="auto" w:fill="FFFFFF"/>
        </w:rPr>
        <w:t>亿元。</w:t>
      </w:r>
    </w:p>
    <w:p w14:paraId="4C3C4B3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pP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全年保险公司保费收入115.51亿元。其中，财产险31.6亿元，人身险83.92亿元。全年赔款支出与给付48.35亿元。其中，财产险21.22亿元，人身险27.13亿元。</w:t>
      </w:r>
    </w:p>
    <w:p w14:paraId="431A47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color="auto" w:fill="FFFFFF"/>
        </w:rPr>
      </w:pPr>
    </w:p>
    <w:p w14:paraId="5BF0D92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42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九、教育和科学技术</w:t>
      </w:r>
    </w:p>
    <w:p w14:paraId="5ADDC2A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right="0" w:firstLine="640" w:firstLineChars="200"/>
        <w:jc w:val="both"/>
        <w:textAlignment w:val="auto"/>
        <w:rPr>
          <w:rFonts w:hint="eastAsia" w:ascii="仿宋_GB2312" w:hAnsi="仿宋_GB2312" w:eastAsia="仿宋_GB2312" w:cs="仿宋_GB2312"/>
          <w:b w:val="0"/>
          <w:bCs w:val="0"/>
          <w:i w:val="0"/>
          <w:caps w:val="0"/>
          <w:color w:val="auto"/>
          <w:spacing w:val="0"/>
          <w:sz w:val="32"/>
          <w:szCs w:val="32"/>
          <w:highlight w:val="none"/>
          <w:u w:val="none"/>
          <w:lang w:val="en-US" w:eastAsia="zh-CN"/>
        </w:rPr>
      </w:pPr>
      <w:r>
        <w:rPr>
          <w:rFonts w:hint="eastAsia" w:ascii="仿宋_GB2312" w:hAnsi="仿宋_GB2312" w:eastAsia="仿宋_GB2312" w:cs="仿宋_GB2312"/>
          <w:b w:val="0"/>
          <w:bCs w:val="0"/>
          <w:i w:val="0"/>
          <w:caps w:val="0"/>
          <w:color w:val="auto"/>
          <w:spacing w:val="0"/>
          <w:sz w:val="32"/>
          <w:szCs w:val="32"/>
          <w:highlight w:val="none"/>
          <w:u w:val="none"/>
          <w:lang w:val="en-US" w:eastAsia="zh-CN"/>
        </w:rPr>
        <w:t>全年全市各级各类学校2481所。高等院校7所，普通高中79所，中等职业学校17所，技工学校4所，初中261所，小学987所，特殊教育学校8所，幼儿园1118所。基础教育在校生1102420人，其中：学前121644人、义务754113人（小学449319人，初中304794人）、高中175804人、特教1543人；中等职业教育在校生49316人。基础教育教职工83899人，其中，专任老师70752人；中等职业教育教职工3040人，其中，专任老师2705人。小学适龄儿童入学率100%。</w:t>
      </w:r>
    </w:p>
    <w:p w14:paraId="519F08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年末全市共有省级工程技术研究中心130个，省级重点实验室7个，国家级重点实验室1个。启动实施3个省重大科技专项（“十四五”时期我市主持申报河南省重大专项8项）。获得省级科学技术奖7项（我市主持完成3项，参与完成4项）。全年签订技术合同1593份，技术合同成交金额105.27亿元。</w:t>
      </w:r>
    </w:p>
    <w:p w14:paraId="0CEDEB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yellow"/>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年末全市共有通过资质认定的检验检测机构152个，法定计量技术机构6个，全年强制检定计量器具320218件。当年新增市地方标准13项，新建计量标准22项。年末共有9种产品获得国家地理标志产品保护。年末共有天气雷达站3个，自动气象站180个。地震观测站21个，地震观测站网3个。</w:t>
      </w:r>
    </w:p>
    <w:p w14:paraId="341690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十、居民收入消费和社会保障</w:t>
      </w:r>
    </w:p>
    <w:p w14:paraId="02674D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全年全市居民人均可支配收入</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33344</w:t>
      </w:r>
      <w:r>
        <w:rPr>
          <w:rFonts w:hint="eastAsia" w:ascii="仿宋_GB2312" w:hAnsi="仿宋_GB2312" w:eastAsia="仿宋_GB2312" w:cs="仿宋_GB2312"/>
          <w:i w:val="0"/>
          <w:caps w:val="0"/>
          <w:color w:val="auto"/>
          <w:spacing w:val="0"/>
          <w:sz w:val="32"/>
          <w:szCs w:val="32"/>
          <w:highlight w:val="none"/>
          <w:u w:val="none"/>
          <w:shd w:val="clear" w:color="auto" w:fill="FFFFFF"/>
        </w:rPr>
        <w:t>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5.2</w:t>
      </w:r>
      <w:r>
        <w:rPr>
          <w:rFonts w:hint="eastAsia" w:ascii="仿宋_GB2312" w:hAnsi="仿宋_GB2312" w:eastAsia="仿宋_GB2312" w:cs="仿宋_GB2312"/>
          <w:i w:val="0"/>
          <w:caps w:val="0"/>
          <w:color w:val="auto"/>
          <w:spacing w:val="0"/>
          <w:sz w:val="32"/>
          <w:szCs w:val="32"/>
          <w:highlight w:val="none"/>
          <w:u w:val="none"/>
          <w:shd w:val="clear" w:color="auto" w:fill="FFFFFF"/>
        </w:rPr>
        <w:t>%。按常住地分，城镇居民人均可支配收入</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42904</w:t>
      </w:r>
      <w:r>
        <w:rPr>
          <w:rFonts w:hint="eastAsia" w:ascii="仿宋_GB2312" w:hAnsi="仿宋_GB2312" w:eastAsia="仿宋_GB2312" w:cs="仿宋_GB2312"/>
          <w:i w:val="0"/>
          <w:caps w:val="0"/>
          <w:color w:val="auto"/>
          <w:spacing w:val="0"/>
          <w:sz w:val="32"/>
          <w:szCs w:val="32"/>
          <w:highlight w:val="none"/>
          <w:u w:val="none"/>
          <w:shd w:val="clear" w:color="auto" w:fill="FFFFFF"/>
        </w:rPr>
        <w:t>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4.5</w:t>
      </w:r>
      <w:r>
        <w:rPr>
          <w:rFonts w:hint="eastAsia" w:ascii="仿宋_GB2312" w:hAnsi="仿宋_GB2312" w:eastAsia="仿宋_GB2312" w:cs="仿宋_GB2312"/>
          <w:i w:val="0"/>
          <w:caps w:val="0"/>
          <w:color w:val="auto"/>
          <w:spacing w:val="0"/>
          <w:sz w:val="32"/>
          <w:szCs w:val="32"/>
          <w:highlight w:val="none"/>
          <w:u w:val="none"/>
          <w:shd w:val="clear" w:color="auto" w:fill="FFFFFF"/>
        </w:rPr>
        <w:t>%；农村居民人均可支配收入</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23214</w:t>
      </w:r>
      <w:r>
        <w:rPr>
          <w:rFonts w:hint="eastAsia" w:ascii="仿宋_GB2312" w:hAnsi="仿宋_GB2312" w:eastAsia="仿宋_GB2312" w:cs="仿宋_GB2312"/>
          <w:i w:val="0"/>
          <w:caps w:val="0"/>
          <w:color w:val="auto"/>
          <w:spacing w:val="0"/>
          <w:sz w:val="32"/>
          <w:szCs w:val="32"/>
          <w:highlight w:val="none"/>
          <w:u w:val="none"/>
          <w:shd w:val="clear" w:color="auto" w:fill="FFFFFF"/>
        </w:rPr>
        <w:t>元，增长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5.9</w:t>
      </w:r>
      <w:r>
        <w:rPr>
          <w:rFonts w:hint="eastAsia" w:ascii="仿宋_GB2312" w:hAnsi="仿宋_GB2312" w:eastAsia="仿宋_GB2312" w:cs="仿宋_GB2312"/>
          <w:i w:val="0"/>
          <w:caps w:val="0"/>
          <w:color w:val="auto"/>
          <w:spacing w:val="0"/>
          <w:sz w:val="32"/>
          <w:szCs w:val="32"/>
          <w:highlight w:val="none"/>
          <w:u w:val="none"/>
          <w:shd w:val="clear" w:color="auto" w:fill="FFFFFF"/>
        </w:rPr>
        <w:t>%。城乡居民人均可支配收入比例为</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1.85</w:t>
      </w:r>
      <w:r>
        <w:rPr>
          <w:rFonts w:hint="eastAsia" w:ascii="仿宋_GB2312" w:hAnsi="仿宋_GB2312" w:eastAsia="仿宋_GB2312" w:cs="仿宋_GB2312"/>
          <w:i w:val="0"/>
          <w:caps w:val="0"/>
          <w:color w:val="auto"/>
          <w:spacing w:val="0"/>
          <w:sz w:val="32"/>
          <w:szCs w:val="32"/>
          <w:highlight w:val="none"/>
          <w:u w:val="none"/>
          <w:shd w:val="clear" w:color="auto" w:fill="FFFFFF"/>
        </w:rPr>
        <w:t>，比上年缩小0.0</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2</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5387DA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全市居民人均消费支出</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19883</w:t>
      </w:r>
      <w:r>
        <w:rPr>
          <w:rFonts w:hint="eastAsia" w:ascii="仿宋_GB2312" w:hAnsi="仿宋_GB2312" w:eastAsia="仿宋_GB2312" w:cs="仿宋_GB2312"/>
          <w:i w:val="0"/>
          <w:caps w:val="0"/>
          <w:color w:val="auto"/>
          <w:spacing w:val="0"/>
          <w:sz w:val="32"/>
          <w:szCs w:val="32"/>
          <w:highlight w:val="none"/>
          <w:u w:val="none"/>
          <w:shd w:val="clear" w:color="auto" w:fill="FFFFFF"/>
        </w:rPr>
        <w:t>元，比上年</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5.4</w:t>
      </w:r>
      <w:r>
        <w:rPr>
          <w:rFonts w:hint="eastAsia" w:ascii="仿宋_GB2312" w:hAnsi="仿宋_GB2312" w:eastAsia="仿宋_GB2312" w:cs="仿宋_GB2312"/>
          <w:i w:val="0"/>
          <w:caps w:val="0"/>
          <w:color w:val="auto"/>
          <w:spacing w:val="0"/>
          <w:sz w:val="32"/>
          <w:szCs w:val="32"/>
          <w:highlight w:val="none"/>
          <w:u w:val="none"/>
          <w:shd w:val="clear" w:color="auto" w:fill="FFFFFF"/>
        </w:rPr>
        <w:t>%。按常住地分，城镇居民人均消费支出</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22907</w:t>
      </w:r>
      <w:r>
        <w:rPr>
          <w:rFonts w:hint="eastAsia" w:ascii="仿宋_GB2312" w:hAnsi="仿宋_GB2312" w:eastAsia="仿宋_GB2312" w:cs="仿宋_GB2312"/>
          <w:i w:val="0"/>
          <w:caps w:val="0"/>
          <w:color w:val="auto"/>
          <w:spacing w:val="0"/>
          <w:sz w:val="32"/>
          <w:szCs w:val="32"/>
          <w:highlight w:val="none"/>
          <w:u w:val="none"/>
          <w:shd w:val="clear" w:color="auto" w:fill="FFFFFF"/>
        </w:rPr>
        <w:t>元</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4.4</w:t>
      </w:r>
      <w:r>
        <w:rPr>
          <w:rFonts w:hint="eastAsia" w:ascii="仿宋_GB2312" w:hAnsi="仿宋_GB2312" w:eastAsia="仿宋_GB2312" w:cs="仿宋_GB2312"/>
          <w:i w:val="0"/>
          <w:caps w:val="0"/>
          <w:color w:val="auto"/>
          <w:spacing w:val="0"/>
          <w:sz w:val="32"/>
          <w:szCs w:val="32"/>
          <w:highlight w:val="none"/>
          <w:u w:val="none"/>
          <w:shd w:val="clear" w:color="auto" w:fill="FFFFFF"/>
        </w:rPr>
        <w:t>%；农村居民人均消费支出</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1667</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9</w:t>
      </w:r>
      <w:r>
        <w:rPr>
          <w:rFonts w:hint="eastAsia" w:ascii="仿宋_GB2312" w:hAnsi="仿宋_GB2312" w:eastAsia="仿宋_GB2312" w:cs="仿宋_GB2312"/>
          <w:i w:val="0"/>
          <w:caps w:val="0"/>
          <w:color w:val="auto"/>
          <w:spacing w:val="0"/>
          <w:sz w:val="32"/>
          <w:szCs w:val="32"/>
          <w:highlight w:val="none"/>
          <w:u w:val="none"/>
          <w:shd w:val="clear" w:color="auto" w:fill="FFFFFF"/>
        </w:rPr>
        <w:t>元，</w:t>
      </w:r>
      <w:r>
        <w:rPr>
          <w:rFonts w:hint="eastAsia" w:ascii="仿宋_GB2312" w:hAnsi="仿宋_GB2312" w:eastAsia="仿宋_GB2312" w:cs="仿宋_GB2312"/>
          <w:i w:val="0"/>
          <w:caps w:val="0"/>
          <w:color w:val="auto"/>
          <w:spacing w:val="0"/>
          <w:sz w:val="32"/>
          <w:szCs w:val="32"/>
          <w:highlight w:val="none"/>
          <w:u w:val="none"/>
          <w:shd w:val="clear" w:color="auto" w:fill="FFFFFF"/>
          <w:lang w:eastAsia="zh-CN"/>
        </w:rPr>
        <w:t>增长</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6.5</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11D1AAC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宋体" w:eastAsia="仿宋_GB2312" w:cs="仿宋_GB2312"/>
          <w:i w:val="0"/>
          <w:caps w:val="0"/>
          <w:color w:val="000000"/>
          <w:spacing w:val="0"/>
          <w:kern w:val="0"/>
          <w:sz w:val="32"/>
          <w:szCs w:val="32"/>
          <w:highlight w:val="none"/>
          <w:u w:val="none"/>
          <w:lang w:val="en-US" w:eastAsia="zh-CN" w:bidi="ar"/>
        </w:rPr>
        <w:t>年末全市参加城乡居民基本养老保险人数290.99万人。参加城镇职工基本养老保险人数131.81万人。</w:t>
      </w:r>
      <w:r>
        <w:rPr>
          <w:rFonts w:hint="eastAsia" w:ascii="仿宋_GB2312" w:hAnsi="仿宋_GB2312" w:eastAsia="仿宋_GB2312" w:cs="仿宋_GB2312"/>
          <w:i w:val="0"/>
          <w:caps w:val="0"/>
          <w:color w:val="auto"/>
          <w:spacing w:val="0"/>
          <w:sz w:val="32"/>
          <w:szCs w:val="32"/>
          <w:highlight w:val="none"/>
          <w:u w:val="none"/>
          <w:shd w:val="clear" w:color="auto" w:fill="FFFFFF"/>
        </w:rPr>
        <w:t>参加基本医疗保险人数</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53</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2</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w:t>
      </w:r>
      <w:r>
        <w:rPr>
          <w:rFonts w:hint="eastAsia" w:ascii="仿宋_GB2312" w:hAnsi="仿宋_GB2312" w:eastAsia="仿宋_GB2312" w:cs="仿宋_GB2312"/>
          <w:i w:val="0"/>
          <w:caps w:val="0"/>
          <w:color w:val="auto"/>
          <w:spacing w:val="0"/>
          <w:sz w:val="32"/>
          <w:szCs w:val="32"/>
          <w:highlight w:val="none"/>
          <w:u w:val="none"/>
          <w:shd w:val="clear" w:color="auto" w:fill="FFFFFF"/>
        </w:rPr>
        <w:t>万人。其中，参加职工基本医疗保险人数</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74.8</w:t>
      </w:r>
      <w:r>
        <w:rPr>
          <w:rFonts w:hint="eastAsia" w:ascii="仿宋_GB2312" w:hAnsi="仿宋_GB2312" w:eastAsia="仿宋_GB2312" w:cs="仿宋_GB2312"/>
          <w:i w:val="0"/>
          <w:caps w:val="0"/>
          <w:color w:val="auto"/>
          <w:spacing w:val="0"/>
          <w:sz w:val="32"/>
          <w:szCs w:val="32"/>
          <w:highlight w:val="none"/>
          <w:u w:val="none"/>
          <w:shd w:val="clear" w:color="auto" w:fill="FFFFFF"/>
        </w:rPr>
        <w:t>万人；参加城乡居民基本医疗保险人数</w:t>
      </w:r>
      <w:r>
        <w:rPr>
          <w:rFonts w:hint="default" w:ascii="仿宋_GB2312" w:hAnsi="仿宋_GB2312" w:eastAsia="仿宋_GB2312" w:cs="仿宋_GB2312"/>
          <w:i w:val="0"/>
          <w:caps w:val="0"/>
          <w:color w:val="auto"/>
          <w:spacing w:val="0"/>
          <w:sz w:val="32"/>
          <w:szCs w:val="32"/>
          <w:highlight w:val="none"/>
          <w:u w:val="none"/>
          <w:shd w:val="clear" w:color="auto" w:fill="FFFFFF"/>
          <w:lang w:val="en-US" w:eastAsia="zh-CN"/>
        </w:rPr>
        <w:t>457.6</w:t>
      </w:r>
      <w:r>
        <w:rPr>
          <w:rFonts w:hint="eastAsia" w:ascii="仿宋_GB2312" w:hAnsi="仿宋_GB2312" w:eastAsia="仿宋_GB2312" w:cs="仿宋_GB2312"/>
          <w:i w:val="0"/>
          <w:caps w:val="0"/>
          <w:color w:val="auto"/>
          <w:spacing w:val="0"/>
          <w:sz w:val="32"/>
          <w:szCs w:val="32"/>
          <w:highlight w:val="none"/>
          <w:u w:val="none"/>
          <w:shd w:val="clear" w:color="auto" w:fill="FFFFFF"/>
        </w:rPr>
        <w:t>万人。</w:t>
      </w:r>
      <w:r>
        <w:rPr>
          <w:rFonts w:hint="eastAsia" w:ascii="仿宋_GB2312" w:hAnsi="宋体" w:eastAsia="仿宋_GB2312" w:cs="仿宋_GB2312"/>
          <w:i w:val="0"/>
          <w:caps w:val="0"/>
          <w:color w:val="000000"/>
          <w:spacing w:val="0"/>
          <w:kern w:val="0"/>
          <w:sz w:val="32"/>
          <w:szCs w:val="32"/>
          <w:highlight w:val="none"/>
          <w:u w:val="none"/>
          <w:lang w:val="en-US" w:eastAsia="zh-CN" w:bidi="ar"/>
        </w:rPr>
        <w:t>参加失业保险人数59.11万人。参加工伤保险人数52.10万人。其中，参加工伤保险的农民工6.93万人</w:t>
      </w:r>
      <w:r>
        <w:rPr>
          <w:rFonts w:hint="default" w:ascii="仿宋_GB2312" w:hAnsi="宋体" w:eastAsia="仿宋_GB2312" w:cs="仿宋_GB2312"/>
          <w:i w:val="0"/>
          <w:caps w:val="0"/>
          <w:color w:val="000000"/>
          <w:spacing w:val="0"/>
          <w:kern w:val="0"/>
          <w:sz w:val="32"/>
          <w:szCs w:val="32"/>
          <w:highlight w:val="none"/>
          <w:u w:val="none"/>
          <w:lang w:val="en-US" w:eastAsia="zh-CN" w:bidi="ar"/>
        </w:rPr>
        <w:t>。</w:t>
      </w:r>
    </w:p>
    <w:p w14:paraId="3AC1E2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sz w:val="32"/>
          <w:szCs w:val="32"/>
          <w:highlight w:val="none"/>
          <w:u w:val="none"/>
          <w:lang w:val="en-US" w:eastAsia="zh-CN"/>
        </w:rPr>
        <w:t>年末全市共有96077人享受最低生活保障。其中，7028人享受城市最低生活保障，89049人享受农村最低生活保障。16982人享受农村特困人员救助供养，全年临时救助0.81万人次。年末全市共有各类提供住宿的民政服务机构187个，其中养老机构184个，儿童福利和救助保护机构1个。民政服务床位1.86万张，其中养老服务床位1.75万张，儿童福利和救助保护机构床位150张。</w:t>
      </w:r>
    </w:p>
    <w:p w14:paraId="383274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十一、文化旅游、卫生健康和体育</w:t>
      </w:r>
    </w:p>
    <w:p w14:paraId="27A3C8A4">
      <w:pPr>
        <w:pStyle w:val="6"/>
        <w:widowControl/>
        <w:spacing w:before="0" w:beforeAutospacing="0" w:after="0" w:afterAutospacing="0" w:line="579" w:lineRule="exact"/>
        <w:ind w:firstLine="640" w:firstLineChars="20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年末全市共有公有制艺术表演团体13个，文化馆13个，公共图书馆10个。入选国家级非物质文化遗产传承人</w:t>
      </w:r>
      <w:r>
        <w:rPr>
          <w:rFonts w:hint="eastAsia" w:ascii="仿宋_GB2312" w:hAnsi="仿宋_GB2312" w:eastAsia="仿宋_GB2312" w:cs="仿宋_GB2312"/>
          <w:sz w:val="32"/>
          <w:szCs w:val="32"/>
          <w:highlight w:val="none"/>
          <w:u w:val="none"/>
          <w:lang w:val="en-US" w:eastAsia="zh-CN"/>
        </w:rPr>
        <w:t>10</w:t>
      </w:r>
      <w:r>
        <w:rPr>
          <w:rFonts w:hint="eastAsia" w:ascii="仿宋_GB2312" w:hAnsi="仿宋_GB2312" w:eastAsia="仿宋_GB2312" w:cs="仿宋_GB2312"/>
          <w:sz w:val="32"/>
          <w:szCs w:val="32"/>
          <w:highlight w:val="none"/>
          <w:u w:val="none"/>
        </w:rPr>
        <w:t>人。</w:t>
      </w:r>
    </w:p>
    <w:p w14:paraId="4E356832">
      <w:pPr>
        <w:pStyle w:val="6"/>
        <w:widowControl/>
        <w:spacing w:before="0" w:beforeAutospacing="0" w:after="0" w:afterAutospacing="0" w:line="579" w:lineRule="exact"/>
        <w:ind w:firstLine="640" w:firstLineChars="200"/>
        <w:jc w:val="both"/>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全年接待国内外游客</w:t>
      </w:r>
      <w:r>
        <w:rPr>
          <w:rFonts w:hint="eastAsia" w:ascii="仿宋_GB2312" w:hAnsi="仿宋_GB2312" w:eastAsia="仿宋_GB2312" w:cs="仿宋_GB2312"/>
          <w:sz w:val="32"/>
          <w:szCs w:val="32"/>
          <w:highlight w:val="none"/>
          <w:u w:val="none"/>
          <w:lang w:val="en-US" w:eastAsia="zh-CN"/>
        </w:rPr>
        <w:t>10018.65</w:t>
      </w:r>
      <w:r>
        <w:rPr>
          <w:rFonts w:hint="eastAsia" w:ascii="仿宋_GB2312" w:hAnsi="仿宋_GB2312" w:eastAsia="仿宋_GB2312" w:cs="仿宋_GB2312"/>
          <w:sz w:val="32"/>
          <w:szCs w:val="32"/>
          <w:highlight w:val="none"/>
          <w:u w:val="none"/>
        </w:rPr>
        <w:t>万人次。旅游总收入</w:t>
      </w:r>
      <w:r>
        <w:rPr>
          <w:rFonts w:hint="eastAsia" w:ascii="仿宋_GB2312" w:hAnsi="仿宋_GB2312" w:eastAsia="仿宋_GB2312" w:cs="仿宋_GB2312"/>
          <w:sz w:val="32"/>
          <w:szCs w:val="32"/>
          <w:highlight w:val="none"/>
          <w:u w:val="none"/>
          <w:lang w:val="en-US" w:eastAsia="zh-CN"/>
        </w:rPr>
        <w:t>886.7</w:t>
      </w:r>
      <w:r>
        <w:rPr>
          <w:rFonts w:hint="eastAsia" w:ascii="仿宋_GB2312" w:hAnsi="仿宋_GB2312" w:eastAsia="仿宋_GB2312" w:cs="仿宋_GB2312"/>
          <w:sz w:val="32"/>
          <w:szCs w:val="32"/>
          <w:highlight w:val="none"/>
          <w:u w:val="none"/>
        </w:rPr>
        <w:t>亿元。</w:t>
      </w:r>
    </w:p>
    <w:p w14:paraId="5882F4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sz w:val="32"/>
          <w:szCs w:val="32"/>
          <w:highlight w:val="none"/>
          <w:u w:val="none"/>
        </w:rPr>
        <w:t>全年全市运动员共取得全国冠军</w:t>
      </w:r>
      <w:r>
        <w:rPr>
          <w:rFonts w:hint="eastAsia" w:ascii="仿宋_GB2312" w:hAnsi="仿宋_GB2312" w:eastAsia="仿宋_GB2312" w:cs="仿宋_GB2312"/>
          <w:sz w:val="32"/>
          <w:szCs w:val="32"/>
          <w:highlight w:val="none"/>
          <w:u w:val="none"/>
          <w:lang w:val="en-US" w:eastAsia="zh-CN"/>
        </w:rPr>
        <w:t>22</w:t>
      </w:r>
      <w:r>
        <w:rPr>
          <w:rFonts w:hint="eastAsia" w:ascii="仿宋_GB2312" w:hAnsi="仿宋_GB2312" w:eastAsia="仿宋_GB2312" w:cs="仿宋_GB2312"/>
          <w:sz w:val="32"/>
          <w:szCs w:val="32"/>
          <w:highlight w:val="none"/>
          <w:u w:val="none"/>
        </w:rPr>
        <w:t>个。全年体质监测和科学健身指导服务</w:t>
      </w:r>
      <w:r>
        <w:rPr>
          <w:rFonts w:hint="eastAsia" w:ascii="仿宋_GB2312" w:hAnsi="仿宋_GB2312" w:eastAsia="仿宋_GB2312" w:cs="仿宋_GB2312"/>
          <w:sz w:val="32"/>
          <w:szCs w:val="32"/>
          <w:highlight w:val="none"/>
          <w:u w:val="none"/>
          <w:lang w:val="en-US" w:eastAsia="zh-CN"/>
        </w:rPr>
        <w:t>2.19万</w:t>
      </w:r>
      <w:r>
        <w:rPr>
          <w:rFonts w:hint="eastAsia" w:ascii="仿宋_GB2312" w:hAnsi="仿宋_GB2312" w:eastAsia="仿宋_GB2312" w:cs="仿宋_GB2312"/>
          <w:sz w:val="32"/>
          <w:szCs w:val="32"/>
          <w:highlight w:val="none"/>
          <w:u w:val="none"/>
        </w:rPr>
        <w:t>人次。年末共有体育场地22</w:t>
      </w:r>
      <w:r>
        <w:rPr>
          <w:rFonts w:hint="eastAsia" w:ascii="仿宋_GB2312" w:hAnsi="仿宋_GB2312" w:eastAsia="仿宋_GB2312" w:cs="仿宋_GB2312"/>
          <w:sz w:val="32"/>
          <w:szCs w:val="32"/>
          <w:highlight w:val="none"/>
          <w:u w:val="none"/>
          <w:lang w:val="en-US" w:eastAsia="zh-CN"/>
        </w:rPr>
        <w:t>612</w:t>
      </w:r>
      <w:r>
        <w:rPr>
          <w:rFonts w:hint="eastAsia" w:ascii="仿宋_GB2312" w:hAnsi="仿宋_GB2312" w:eastAsia="仿宋_GB2312" w:cs="仿宋_GB2312"/>
          <w:sz w:val="32"/>
          <w:szCs w:val="32"/>
          <w:highlight w:val="none"/>
          <w:u w:val="none"/>
        </w:rPr>
        <w:t>个</w:t>
      </w:r>
      <w:r>
        <w:rPr>
          <w:rFonts w:hint="eastAsia" w:ascii="仿宋_GB2312" w:hAnsi="仿宋_GB2312" w:eastAsia="仿宋_GB2312" w:cs="仿宋_GB2312"/>
          <w:i w:val="0"/>
          <w:caps w:val="0"/>
          <w:color w:val="auto"/>
          <w:spacing w:val="0"/>
          <w:sz w:val="32"/>
          <w:szCs w:val="32"/>
          <w:highlight w:val="none"/>
          <w:u w:val="none"/>
          <w:shd w:val="clear" w:color="auto" w:fill="FFFFFF"/>
        </w:rPr>
        <w:t>。</w:t>
      </w:r>
    </w:p>
    <w:p w14:paraId="6C5344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年末全市共有医疗卫生机构6412个，其中医院115个，在医院中有公立医院36个，民营医院79个；基层医疗卫生机构6267个，其中乡镇卫生院87个，社区卫生服务中心（站）72个，门诊部（所）2281个，村卫生室3827个；专业公共卫生机构27个，其中疾病预防控制中心10个，妇幼保健机构10个。</w:t>
      </w:r>
    </w:p>
    <w:p w14:paraId="3C72C9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年末全市共有卫生技术人员49396人。其中，执业医师和执业助理医师21441人，注册护士21856人。医疗卫生机构床位34435张。其中，医院24846张，乡镇卫生院6751张。全年总诊疗3476万人次，出院94万人次。</w:t>
      </w:r>
    </w:p>
    <w:p w14:paraId="0B02F2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left="0" w:right="0" w:firstLine="420"/>
        <w:jc w:val="center"/>
        <w:textAlignment w:val="auto"/>
        <w:rPr>
          <w:rFonts w:hint="eastAsia" w:ascii="CESI黑体-GB2312" w:hAnsi="CESI黑体-GB2312" w:eastAsia="CESI黑体-GB2312" w:cs="CESI黑体-GB2312"/>
          <w:i w:val="0"/>
          <w:caps w:val="0"/>
          <w:color w:val="auto"/>
          <w:spacing w:val="0"/>
          <w:sz w:val="32"/>
          <w:szCs w:val="32"/>
        </w:rPr>
      </w:pPr>
      <w:r>
        <w:rPr>
          <w:rFonts w:hint="eastAsia" w:ascii="CESI黑体-GB2312" w:hAnsi="CESI黑体-GB2312" w:eastAsia="CESI黑体-GB2312" w:cs="CESI黑体-GB2312"/>
          <w:i w:val="0"/>
          <w:caps w:val="0"/>
          <w:color w:val="auto"/>
          <w:spacing w:val="0"/>
          <w:sz w:val="32"/>
          <w:szCs w:val="32"/>
          <w:shd w:val="clear" w:color="auto" w:fill="FFFFFF"/>
        </w:rPr>
        <w:t>十二、资源和环境</w:t>
      </w:r>
    </w:p>
    <w:p w14:paraId="619011D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年末全市已发现的矿种50余种（含亚种），已查明资源储量的矿种14种，已开发利用的矿种1</w:t>
      </w:r>
      <w:r>
        <w:rPr>
          <w:rFonts w:hint="eastAsia" w:ascii="仿宋_GB2312" w:hAnsi="仿宋_GB2312" w:eastAsia="仿宋_GB2312" w:cs="仿宋_GB2312"/>
          <w:i w:val="0"/>
          <w:caps w:val="0"/>
          <w:color w:val="auto"/>
          <w:spacing w:val="0"/>
          <w:sz w:val="32"/>
          <w:szCs w:val="32"/>
          <w:highlight w:val="none"/>
          <w:u w:val="none"/>
          <w:shd w:val="clear" w:color="auto" w:fill="FFFFFF"/>
          <w:lang w:val="en-US" w:eastAsia="zh-CN"/>
        </w:rPr>
        <w:t>4</w:t>
      </w:r>
      <w:r>
        <w:rPr>
          <w:rFonts w:hint="eastAsia" w:ascii="仿宋_GB2312" w:hAnsi="仿宋_GB2312" w:eastAsia="仿宋_GB2312" w:cs="仿宋_GB2312"/>
          <w:i w:val="0"/>
          <w:caps w:val="0"/>
          <w:color w:val="auto"/>
          <w:spacing w:val="0"/>
          <w:sz w:val="32"/>
          <w:szCs w:val="32"/>
          <w:highlight w:val="none"/>
          <w:u w:val="none"/>
          <w:shd w:val="clear" w:color="auto" w:fill="FFFFFF"/>
        </w:rPr>
        <w:t>种。</w:t>
      </w:r>
    </w:p>
    <w:p w14:paraId="2043B1C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eastAsia="zh-CN"/>
        </w:rPr>
        <w:t>全年规模以上工业能源消费量</w:t>
      </w:r>
      <w:r>
        <w:rPr>
          <w:rFonts w:hint="eastAsia" w:ascii="仿宋_GB2312" w:hAnsi="仿宋_GB2312" w:eastAsia="仿宋_GB2312" w:cs="仿宋_GB2312"/>
          <w:color w:val="auto"/>
          <w:sz w:val="32"/>
          <w:szCs w:val="32"/>
          <w:highlight w:val="none"/>
          <w:u w:val="none"/>
          <w:lang w:val="en-US" w:eastAsia="zh-CN"/>
        </w:rPr>
        <w:t>1436.9万吨标准煤，比上年下降2.1%，万元工业增加值能耗下降8.8%。</w:t>
      </w:r>
    </w:p>
    <w:p w14:paraId="3E089A7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color w:val="auto"/>
          <w:sz w:val="32"/>
          <w:szCs w:val="32"/>
          <w:highlight w:val="none"/>
        </w:rPr>
        <w:t>全市国考河流监测断面中，水质符合I-Ш类标准的比例</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%，符合IV类标准的比例</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，水质为V类和劣V类的比例为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。全年城市空气质量优良天数比例</w:t>
      </w:r>
      <w:r>
        <w:rPr>
          <w:rFonts w:hint="eastAsia" w:ascii="仿宋_GB2312" w:hAnsi="仿宋_GB2312" w:eastAsia="仿宋_GB2312" w:cs="仿宋_GB2312"/>
          <w:color w:val="auto"/>
          <w:sz w:val="32"/>
          <w:szCs w:val="32"/>
          <w:highlight w:val="none"/>
          <w:lang w:val="en-US" w:eastAsia="zh-CN"/>
        </w:rPr>
        <w:t>68.5</w:t>
      </w:r>
      <w:r>
        <w:rPr>
          <w:rFonts w:hint="eastAsia" w:ascii="仿宋_GB2312" w:hAnsi="仿宋_GB2312" w:eastAsia="仿宋_GB2312" w:cs="仿宋_GB2312"/>
          <w:color w:val="auto"/>
          <w:sz w:val="32"/>
          <w:szCs w:val="32"/>
          <w:highlight w:val="none"/>
        </w:rPr>
        <w:t>%，PM10平均浓度为</w:t>
      </w:r>
      <w:r>
        <w:rPr>
          <w:rFonts w:hint="eastAsia" w:ascii="仿宋_GB2312" w:hAnsi="仿宋_GB2312" w:eastAsia="仿宋_GB2312" w:cs="仿宋_GB2312"/>
          <w:color w:val="auto"/>
          <w:sz w:val="32"/>
          <w:szCs w:val="32"/>
          <w:highlight w:val="none"/>
          <w:lang w:val="en-US" w:eastAsia="zh-CN"/>
        </w:rPr>
        <w:t>72</w:t>
      </w:r>
      <w:r>
        <w:rPr>
          <w:rFonts w:hint="eastAsia" w:ascii="仿宋_GB2312" w:hAnsi="仿宋_GB2312" w:eastAsia="仿宋_GB2312" w:cs="仿宋_GB2312"/>
          <w:color w:val="auto"/>
          <w:sz w:val="32"/>
          <w:szCs w:val="32"/>
          <w:highlight w:val="none"/>
        </w:rPr>
        <w:t>微克/立方米，</w:t>
      </w:r>
      <w:r>
        <w:rPr>
          <w:rFonts w:hint="eastAsia" w:ascii="仿宋_GB2312" w:hAnsi="仿宋_GB2312" w:eastAsia="仿宋_GB2312" w:cs="仿宋_GB2312"/>
          <w:i w:val="0"/>
          <w:caps w:val="0"/>
          <w:color w:val="auto"/>
          <w:spacing w:val="0"/>
          <w:sz w:val="32"/>
          <w:szCs w:val="32"/>
          <w:highlight w:val="none"/>
          <w:shd w:val="clear" w:color="auto" w:fill="FFFFFF"/>
          <w:lang w:val="en-US" w:eastAsia="zh-CN"/>
        </w:rPr>
        <w:t>比上年下降12.2</w:t>
      </w:r>
      <w:r>
        <w:rPr>
          <w:rFonts w:hint="default" w:ascii="仿宋_GB2312" w:hAnsi="仿宋_GB2312" w:eastAsia="仿宋_GB2312" w:cs="仿宋_GB2312"/>
          <w:i w:val="0"/>
          <w:caps w:val="0"/>
          <w:color w:val="auto"/>
          <w:spacing w:val="0"/>
          <w:sz w:val="32"/>
          <w:szCs w:val="32"/>
          <w:highlight w:val="none"/>
          <w:shd w:val="clear" w:color="auto" w:fill="FFFFFF"/>
          <w:lang w:val="en-US" w:eastAsia="zh-CN"/>
        </w:rPr>
        <w:t>%</w:t>
      </w:r>
      <w:r>
        <w:rPr>
          <w:rFonts w:hint="eastAsia" w:ascii="仿宋_GB2312" w:hAnsi="仿宋_GB2312" w:eastAsia="仿宋_GB2312" w:cs="仿宋_GB2312"/>
          <w:i w:val="0"/>
          <w:caps w:val="0"/>
          <w:color w:val="auto"/>
          <w:spacing w:val="0"/>
          <w:sz w:val="32"/>
          <w:szCs w:val="32"/>
          <w:highlight w:val="none"/>
          <w:shd w:val="clear" w:color="auto" w:fill="FFFFFF"/>
          <w:lang w:val="en-US" w:eastAsia="zh-CN"/>
        </w:rPr>
        <w:t>；</w:t>
      </w:r>
      <w:r>
        <w:rPr>
          <w:rFonts w:hint="eastAsia" w:ascii="仿宋_GB2312" w:hAnsi="仿宋_GB2312" w:eastAsia="仿宋_GB2312" w:cs="仿宋_GB2312"/>
          <w:color w:val="auto"/>
          <w:sz w:val="32"/>
          <w:szCs w:val="32"/>
          <w:highlight w:val="none"/>
        </w:rPr>
        <w:t>PM2.5平均浓度为</w:t>
      </w:r>
      <w:r>
        <w:rPr>
          <w:rFonts w:hint="eastAsia" w:ascii="仿宋_GB2312" w:hAnsi="仿宋_GB2312" w:eastAsia="仿宋_GB2312" w:cs="仿宋_GB2312"/>
          <w:color w:val="auto"/>
          <w:sz w:val="32"/>
          <w:szCs w:val="32"/>
          <w:highlight w:val="none"/>
          <w:lang w:val="en-US" w:eastAsia="zh-CN"/>
        </w:rPr>
        <w:t>43</w:t>
      </w:r>
      <w:r>
        <w:rPr>
          <w:rFonts w:hint="eastAsia" w:ascii="仿宋_GB2312" w:hAnsi="仿宋_GB2312" w:eastAsia="仿宋_GB2312" w:cs="仿宋_GB2312"/>
          <w:color w:val="auto"/>
          <w:sz w:val="32"/>
          <w:szCs w:val="32"/>
          <w:highlight w:val="none"/>
        </w:rPr>
        <w:t>微克/立方米</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i w:val="0"/>
          <w:caps w:val="0"/>
          <w:color w:val="auto"/>
          <w:spacing w:val="0"/>
          <w:sz w:val="32"/>
          <w:szCs w:val="32"/>
          <w:highlight w:val="none"/>
          <w:shd w:val="clear" w:color="auto" w:fill="FFFFFF"/>
          <w:lang w:val="en-US" w:eastAsia="zh-CN"/>
        </w:rPr>
        <w:t>比上年下降15.7</w:t>
      </w:r>
      <w:r>
        <w:rPr>
          <w:rFonts w:hint="default" w:ascii="仿宋_GB2312" w:hAnsi="仿宋_GB2312" w:eastAsia="仿宋_GB2312" w:cs="仿宋_GB2312"/>
          <w:i w:val="0"/>
          <w:caps w:val="0"/>
          <w:color w:val="auto"/>
          <w:spacing w:val="0"/>
          <w:sz w:val="32"/>
          <w:szCs w:val="32"/>
          <w:highlight w:val="none"/>
          <w:shd w:val="clear" w:color="auto" w:fill="FFFFFF"/>
          <w:lang w:val="en-US" w:eastAsia="zh-CN"/>
        </w:rPr>
        <w:t>%</w:t>
      </w:r>
      <w:r>
        <w:rPr>
          <w:rFonts w:hint="eastAsia" w:ascii="仿宋_GB2312" w:hAnsi="仿宋_GB2312" w:eastAsia="仿宋_GB2312" w:cs="仿宋_GB2312"/>
          <w:color w:val="auto"/>
          <w:sz w:val="32"/>
          <w:szCs w:val="32"/>
          <w:highlight w:val="none"/>
          <w:u w:val="none"/>
        </w:rPr>
        <w:t>。</w:t>
      </w:r>
    </w:p>
    <w:p w14:paraId="44A441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全年平均气温15.9℃。</w:t>
      </w:r>
    </w:p>
    <w:p w14:paraId="18F651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00" w:beforeAutospacing="0" w:after="100" w:afterAutospacing="0" w:line="579"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highlight w:val="none"/>
          <w:u w:val="none"/>
          <w:shd w:val="clear" w:color="auto" w:fill="FFFFFF"/>
        </w:rPr>
      </w:pPr>
      <w:r>
        <w:rPr>
          <w:rFonts w:hint="eastAsia" w:ascii="仿宋_GB2312" w:hAnsi="仿宋_GB2312" w:eastAsia="仿宋_GB2312" w:cs="仿宋_GB2312"/>
          <w:i w:val="0"/>
          <w:caps w:val="0"/>
          <w:color w:val="auto"/>
          <w:spacing w:val="0"/>
          <w:sz w:val="32"/>
          <w:szCs w:val="32"/>
          <w:highlight w:val="none"/>
          <w:u w:val="none"/>
          <w:shd w:val="clear" w:color="auto" w:fill="FFFFFF"/>
        </w:rPr>
        <w:t>全年完成造林面积</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1.3</w:t>
      </w:r>
      <w:r>
        <w:rPr>
          <w:rFonts w:hint="eastAsia" w:ascii="仿宋_GB2312" w:hAnsi="仿宋_GB2312" w:eastAsia="仿宋_GB2312" w:cs="仿宋_GB2312"/>
          <w:i w:val="0"/>
          <w:caps w:val="0"/>
          <w:color w:val="auto"/>
          <w:spacing w:val="0"/>
          <w:sz w:val="32"/>
          <w:szCs w:val="32"/>
          <w:highlight w:val="none"/>
          <w:u w:val="none"/>
          <w:shd w:val="clear" w:color="auto" w:fill="FFFFFF"/>
        </w:rPr>
        <w:t>千公顷。其中，人工造林面积</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1.3</w:t>
      </w:r>
      <w:r>
        <w:rPr>
          <w:rFonts w:hint="eastAsia" w:ascii="仿宋_GB2312" w:hAnsi="仿宋_GB2312" w:eastAsia="仿宋_GB2312" w:cs="仿宋_GB2312"/>
          <w:i w:val="0"/>
          <w:caps w:val="0"/>
          <w:color w:val="auto"/>
          <w:spacing w:val="0"/>
          <w:sz w:val="32"/>
          <w:szCs w:val="32"/>
          <w:highlight w:val="none"/>
          <w:u w:val="none"/>
          <w:shd w:val="clear" w:color="auto" w:fill="FFFFFF"/>
        </w:rPr>
        <w:t>千公顷。共有自然保护区1个，森林公园</w:t>
      </w:r>
      <w:r>
        <w:rPr>
          <w:rFonts w:hint="default" w:ascii="仿宋_GB2312" w:hAnsi="仿宋_GB2312" w:eastAsia="仿宋_GB2312" w:cs="仿宋_GB2312"/>
          <w:i w:val="0"/>
          <w:caps w:val="0"/>
          <w:color w:val="auto"/>
          <w:spacing w:val="0"/>
          <w:sz w:val="32"/>
          <w:szCs w:val="32"/>
          <w:highlight w:val="none"/>
          <w:u w:val="none"/>
          <w:shd w:val="clear" w:color="auto" w:fill="FFFFFF"/>
          <w:lang w:val="en-US"/>
        </w:rPr>
        <w:t>8</w:t>
      </w:r>
      <w:r>
        <w:rPr>
          <w:rFonts w:hint="eastAsia" w:ascii="仿宋_GB2312" w:hAnsi="仿宋_GB2312" w:eastAsia="仿宋_GB2312" w:cs="仿宋_GB2312"/>
          <w:i w:val="0"/>
          <w:caps w:val="0"/>
          <w:color w:val="auto"/>
          <w:spacing w:val="0"/>
          <w:sz w:val="32"/>
          <w:szCs w:val="32"/>
          <w:highlight w:val="none"/>
          <w:u w:val="none"/>
          <w:shd w:val="clear" w:color="auto" w:fill="FFFFFF"/>
        </w:rPr>
        <w:t>个。其中，国家级森林公园1个。</w:t>
      </w:r>
    </w:p>
    <w:p w14:paraId="21B426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jc w:val="both"/>
        <w:rPr>
          <w:rFonts w:hint="eastAsia" w:ascii="宋体" w:hAnsi="宋体" w:eastAsia="宋体" w:cs="宋体"/>
          <w:i w:val="0"/>
          <w:caps w:val="0"/>
          <w:color w:val="auto"/>
          <w:spacing w:val="0"/>
          <w:sz w:val="19"/>
          <w:szCs w:val="19"/>
          <w:shd w:val="clear" w:color="auto" w:fill="FFFFFF"/>
        </w:rPr>
      </w:pPr>
    </w:p>
    <w:p w14:paraId="028EE78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right="0"/>
        <w:jc w:val="both"/>
        <w:rPr>
          <w:rFonts w:hint="eastAsia" w:ascii="宋体" w:hAnsi="宋体" w:eastAsia="宋体" w:cs="宋体"/>
          <w:i w:val="0"/>
          <w:caps w:val="0"/>
          <w:color w:val="auto"/>
          <w:spacing w:val="0"/>
          <w:sz w:val="19"/>
          <w:szCs w:val="19"/>
          <w:shd w:val="clear" w:color="auto" w:fill="FFFFFF"/>
        </w:rPr>
      </w:pPr>
    </w:p>
    <w:p w14:paraId="6C0459F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eastAsia="宋体" w:cs="宋体"/>
          <w:i w:val="0"/>
          <w:caps w:val="0"/>
          <w:color w:val="auto"/>
          <w:spacing w:val="0"/>
          <w:sz w:val="21"/>
          <w:szCs w:val="21"/>
          <w:shd w:val="clear" w:color="auto" w:fill="FFFFFF"/>
        </w:rPr>
        <w:t>注：</w:t>
      </w:r>
    </w:p>
    <w:p w14:paraId="1CE4002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eastAsia="宋体" w:cs="宋体"/>
          <w:i w:val="0"/>
          <w:caps w:val="0"/>
          <w:color w:val="auto"/>
          <w:spacing w:val="0"/>
          <w:sz w:val="21"/>
          <w:szCs w:val="21"/>
          <w:shd w:val="clear" w:color="auto" w:fill="FFFFFF"/>
        </w:rPr>
        <w:t>1.本公报中数据均为初步统计数。部分数据因四舍五入的原因，存在总计与分项合计不等的情况。</w:t>
      </w:r>
    </w:p>
    <w:p w14:paraId="57C2229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eastAsia="宋体" w:cs="宋体"/>
          <w:i w:val="0"/>
          <w:caps w:val="0"/>
          <w:color w:val="auto"/>
          <w:spacing w:val="0"/>
          <w:sz w:val="21"/>
          <w:szCs w:val="21"/>
          <w:shd w:val="clear" w:color="auto" w:fill="FFFFFF"/>
        </w:rPr>
        <w:t>2.生产总值、各产业增加值绝对数按现价计算，增长速度按不变价计算。经最终核实，</w:t>
      </w:r>
      <w:r>
        <w:rPr>
          <w:rFonts w:hint="eastAsia" w:ascii="宋体" w:hAnsi="宋体" w:cs="宋体"/>
          <w:i w:val="0"/>
          <w:caps w:val="0"/>
          <w:color w:val="auto"/>
          <w:spacing w:val="0"/>
          <w:sz w:val="21"/>
          <w:szCs w:val="21"/>
          <w:shd w:val="clear" w:color="auto" w:fill="FFFFFF"/>
          <w:lang w:val="en-US" w:eastAsia="zh-CN"/>
        </w:rPr>
        <w:t>2024</w:t>
      </w:r>
      <w:r>
        <w:rPr>
          <w:rFonts w:hint="eastAsia" w:ascii="宋体" w:hAnsi="宋体" w:eastAsia="宋体" w:cs="宋体"/>
          <w:i w:val="0"/>
          <w:caps w:val="0"/>
          <w:color w:val="auto"/>
          <w:spacing w:val="0"/>
          <w:sz w:val="21"/>
          <w:szCs w:val="21"/>
          <w:shd w:val="clear" w:color="auto" w:fill="FFFFFF"/>
        </w:rPr>
        <w:t>年全市生产总值为</w:t>
      </w:r>
      <w:r>
        <w:rPr>
          <w:rFonts w:hint="eastAsia" w:ascii="宋体" w:hAnsi="宋体" w:cs="宋体"/>
          <w:i w:val="0"/>
          <w:caps w:val="0"/>
          <w:color w:val="auto"/>
          <w:spacing w:val="0"/>
          <w:sz w:val="21"/>
          <w:szCs w:val="21"/>
          <w:shd w:val="clear" w:color="auto" w:fill="FFFFFF"/>
          <w:lang w:val="en-US" w:eastAsia="zh-CN"/>
        </w:rPr>
        <w:t>2657.5</w:t>
      </w:r>
      <w:r>
        <w:rPr>
          <w:rFonts w:hint="eastAsia" w:ascii="宋体" w:hAnsi="宋体" w:eastAsia="宋体" w:cs="宋体"/>
          <w:i w:val="0"/>
          <w:caps w:val="0"/>
          <w:color w:val="auto"/>
          <w:spacing w:val="0"/>
          <w:sz w:val="21"/>
          <w:szCs w:val="21"/>
          <w:shd w:val="clear" w:color="auto" w:fill="FFFFFF"/>
        </w:rPr>
        <w:t>亿元，三次产业结构为</w:t>
      </w:r>
      <w:r>
        <w:rPr>
          <w:rFonts w:hint="eastAsia" w:ascii="宋体" w:hAnsi="宋体" w:cs="宋体"/>
          <w:i w:val="0"/>
          <w:caps w:val="0"/>
          <w:color w:val="auto"/>
          <w:spacing w:val="0"/>
          <w:sz w:val="21"/>
          <w:szCs w:val="21"/>
          <w:shd w:val="clear" w:color="auto" w:fill="FFFFFF"/>
          <w:lang w:val="en-US" w:eastAsia="zh-CN"/>
        </w:rPr>
        <w:t>8.2</w:t>
      </w:r>
      <w:r>
        <w:rPr>
          <w:rFonts w:hint="eastAsia" w:ascii="宋体" w:hAnsi="宋体" w:eastAsia="宋体" w:cs="宋体"/>
          <w:i w:val="0"/>
          <w:caps w:val="0"/>
          <w:color w:val="auto"/>
          <w:spacing w:val="0"/>
          <w:sz w:val="21"/>
          <w:szCs w:val="21"/>
          <w:shd w:val="clear" w:color="auto" w:fill="FFFFFF"/>
        </w:rPr>
        <w:t>：</w:t>
      </w:r>
      <w:r>
        <w:rPr>
          <w:rFonts w:hint="eastAsia" w:ascii="宋体" w:hAnsi="宋体" w:cs="宋体"/>
          <w:i w:val="0"/>
          <w:caps w:val="0"/>
          <w:color w:val="auto"/>
          <w:spacing w:val="0"/>
          <w:sz w:val="21"/>
          <w:szCs w:val="21"/>
          <w:shd w:val="clear" w:color="auto" w:fill="FFFFFF"/>
          <w:lang w:val="en-US" w:eastAsia="zh-CN"/>
        </w:rPr>
        <w:t>40.0</w:t>
      </w:r>
      <w:r>
        <w:rPr>
          <w:rFonts w:hint="eastAsia" w:ascii="宋体" w:hAnsi="宋体" w:eastAsia="宋体" w:cs="宋体"/>
          <w:i w:val="0"/>
          <w:caps w:val="0"/>
          <w:color w:val="auto"/>
          <w:spacing w:val="0"/>
          <w:sz w:val="21"/>
          <w:szCs w:val="21"/>
          <w:shd w:val="clear" w:color="auto" w:fill="FFFFFF"/>
        </w:rPr>
        <w:t>：</w:t>
      </w:r>
      <w:r>
        <w:rPr>
          <w:rFonts w:hint="eastAsia" w:ascii="宋体" w:hAnsi="宋体" w:cs="宋体"/>
          <w:i w:val="0"/>
          <w:caps w:val="0"/>
          <w:color w:val="auto"/>
          <w:spacing w:val="0"/>
          <w:sz w:val="21"/>
          <w:szCs w:val="21"/>
          <w:shd w:val="clear" w:color="auto" w:fill="FFFFFF"/>
          <w:lang w:val="en-US" w:eastAsia="zh-CN"/>
        </w:rPr>
        <w:t>51.8</w:t>
      </w:r>
      <w:r>
        <w:rPr>
          <w:rFonts w:hint="eastAsia" w:ascii="宋体" w:hAnsi="宋体" w:eastAsia="宋体" w:cs="宋体"/>
          <w:i w:val="0"/>
          <w:caps w:val="0"/>
          <w:color w:val="auto"/>
          <w:spacing w:val="0"/>
          <w:sz w:val="21"/>
          <w:szCs w:val="21"/>
          <w:shd w:val="clear" w:color="auto" w:fill="FFFFFF"/>
        </w:rPr>
        <w:t>。</w:t>
      </w:r>
    </w:p>
    <w:p w14:paraId="13DD69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eastAsia="宋体" w:cs="宋体"/>
          <w:i w:val="0"/>
          <w:caps w:val="0"/>
          <w:color w:val="auto"/>
          <w:spacing w:val="0"/>
          <w:sz w:val="21"/>
          <w:szCs w:val="21"/>
          <w:shd w:val="clear" w:color="auto" w:fill="FFFFFF"/>
        </w:rPr>
        <w:t>3.三次产业分类依据国家统计局2018年修订的《三次产业划分规定》，第一产业是指农、林、牧、渔业（不含农、林、牧、渔专业及辅助性活动）；第二产业是指采矿业（不含开采专业及辅助性活动），制造业（不含金属制品、机械和设备修理业），电力、热力、燃气及水生产和供应业，建筑业；第三产业即服务业，是指除第一产业、第二产业以外的其他行业（剔除国际组织）。</w:t>
      </w:r>
    </w:p>
    <w:p w14:paraId="26131E5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eastAsia="宋体" w:cs="宋体"/>
          <w:i w:val="0"/>
          <w:caps w:val="0"/>
          <w:color w:val="auto"/>
          <w:spacing w:val="0"/>
          <w:sz w:val="21"/>
          <w:szCs w:val="21"/>
          <w:shd w:val="clear" w:color="auto" w:fill="FFFFFF"/>
        </w:rPr>
        <w:t>4.工业战略性新兴产业根据国家统计局制定的《战略性新兴产业分类（</w:t>
      </w:r>
      <w:r>
        <w:rPr>
          <w:rFonts w:hint="eastAsia" w:ascii="宋体" w:hAnsi="宋体" w:cs="宋体"/>
          <w:i w:val="0"/>
          <w:caps w:val="0"/>
          <w:color w:val="auto"/>
          <w:spacing w:val="0"/>
          <w:sz w:val="21"/>
          <w:szCs w:val="21"/>
          <w:shd w:val="clear" w:color="auto" w:fill="FFFFFF"/>
          <w:lang w:val="en-US" w:eastAsia="zh-CN"/>
        </w:rPr>
        <w:t>2025</w:t>
      </w:r>
      <w:bookmarkStart w:id="0" w:name="_GoBack"/>
      <w:bookmarkEnd w:id="0"/>
      <w:r>
        <w:rPr>
          <w:rFonts w:hint="eastAsia" w:ascii="宋体" w:hAnsi="宋体" w:eastAsia="宋体" w:cs="宋体"/>
          <w:i w:val="0"/>
          <w:caps w:val="0"/>
          <w:color w:val="auto"/>
          <w:spacing w:val="0"/>
          <w:sz w:val="21"/>
          <w:szCs w:val="21"/>
          <w:shd w:val="clear" w:color="auto" w:fill="FFFFFF"/>
        </w:rPr>
        <w:t>）》确定。高技术制造业根据国家统计局制定的《高技术产业（制造业）分类（2017）》确定。</w:t>
      </w:r>
    </w:p>
    <w:p w14:paraId="5D0C9F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eastAsia="宋体" w:cs="宋体"/>
          <w:i w:val="0"/>
          <w:caps w:val="0"/>
          <w:color w:val="auto"/>
          <w:spacing w:val="0"/>
          <w:sz w:val="21"/>
          <w:szCs w:val="21"/>
          <w:shd w:val="clear" w:color="auto" w:fill="FFFFFF"/>
        </w:rPr>
        <w:t>5.自2021年7月起，银保监会调整合计数据口径，本报告中保费收入合计数据不包含天安财险、易安财险、天安人寿、华夏人寿数据。</w:t>
      </w:r>
    </w:p>
    <w:p w14:paraId="420C670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default" w:ascii="宋体" w:hAnsi="宋体" w:eastAsia="宋体" w:cs="宋体"/>
          <w:i w:val="0"/>
          <w:caps w:val="0"/>
          <w:color w:val="auto"/>
          <w:spacing w:val="0"/>
          <w:sz w:val="21"/>
          <w:szCs w:val="21"/>
          <w:shd w:val="clear" w:color="auto" w:fill="FFFFFF"/>
          <w:lang w:val="en-US" w:eastAsia="zh-CN"/>
        </w:rPr>
      </w:pPr>
      <w:r>
        <w:rPr>
          <w:rFonts w:hint="eastAsia" w:ascii="宋体" w:hAnsi="宋体" w:cs="宋体"/>
          <w:i w:val="0"/>
          <w:caps w:val="0"/>
          <w:color w:val="auto"/>
          <w:spacing w:val="0"/>
          <w:sz w:val="21"/>
          <w:szCs w:val="21"/>
          <w:shd w:val="clear" w:color="auto" w:fill="FFFFFF"/>
          <w:lang w:val="en-US" w:eastAsia="zh-CN"/>
        </w:rPr>
        <w:t>6.卫生健康数据为初步统计数据，河南省2025年卫生统计年鉴尚未出台。</w:t>
      </w:r>
    </w:p>
    <w:p w14:paraId="4EA08B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0" w:after="100" w:afterAutospacing="0" w:line="24" w:lineRule="atLeast"/>
        <w:ind w:left="0" w:right="0" w:firstLine="420"/>
        <w:jc w:val="both"/>
        <w:rPr>
          <w:rFonts w:hint="eastAsia" w:ascii="宋体" w:hAnsi="宋体" w:eastAsia="宋体" w:cs="宋体"/>
          <w:i w:val="0"/>
          <w:caps w:val="0"/>
          <w:color w:val="auto"/>
          <w:spacing w:val="0"/>
          <w:sz w:val="21"/>
          <w:szCs w:val="21"/>
          <w:shd w:val="clear" w:color="auto" w:fill="FFFFFF"/>
        </w:rPr>
      </w:pPr>
      <w:r>
        <w:rPr>
          <w:rFonts w:hint="eastAsia" w:ascii="宋体" w:hAnsi="宋体" w:cs="宋体"/>
          <w:i w:val="0"/>
          <w:caps w:val="0"/>
          <w:color w:val="auto"/>
          <w:spacing w:val="0"/>
          <w:sz w:val="21"/>
          <w:szCs w:val="21"/>
          <w:shd w:val="clear" w:color="auto" w:fill="FFFFFF"/>
          <w:lang w:val="en-US" w:eastAsia="zh-CN"/>
        </w:rPr>
        <w:t>7</w:t>
      </w:r>
      <w:r>
        <w:rPr>
          <w:rFonts w:hint="eastAsia" w:ascii="宋体" w:hAnsi="宋体" w:eastAsia="宋体" w:cs="宋体"/>
          <w:i w:val="0"/>
          <w:caps w:val="0"/>
          <w:color w:val="auto"/>
          <w:spacing w:val="0"/>
          <w:sz w:val="21"/>
          <w:szCs w:val="21"/>
          <w:shd w:val="clear" w:color="auto" w:fill="FFFFFF"/>
        </w:rPr>
        <w:t>.资料来源：市统计局、国家统计局安阳调查队、市财政局、教育局、商务局、文广体旅局、科技局、市场监管局、人社局、民政局、卫健委、医保局、自然资源和规划局、生态环境局、林业局、气象局、防震减灾中心、人行安阳支行、银保监分局等有关部门。</w:t>
      </w:r>
    </w:p>
    <w:p w14:paraId="5920A0E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 w:lineRule="atLeast"/>
        <w:ind w:left="0" w:right="0" w:firstLine="420"/>
        <w:jc w:val="both"/>
        <w:rPr>
          <w:rFonts w:hint="eastAsia" w:ascii="宋体" w:hAnsi="宋体" w:eastAsia="宋体" w:cs="宋体"/>
          <w:i w:val="0"/>
          <w:caps w:val="0"/>
          <w:color w:val="auto"/>
          <w:spacing w:val="0"/>
          <w:sz w:val="19"/>
          <w:szCs w:val="19"/>
        </w:rPr>
      </w:pPr>
      <w:r>
        <w:rPr>
          <w:rFonts w:hint="eastAsia" w:ascii="宋体" w:hAnsi="宋体" w:eastAsia="宋体" w:cs="宋体"/>
          <w:i w:val="0"/>
          <w:caps w:val="0"/>
          <w:color w:val="auto"/>
          <w:spacing w:val="0"/>
          <w:sz w:val="19"/>
          <w:szCs w:val="19"/>
          <w:shd w:val="clear" w:color="auto" w:fill="FFFFFF"/>
        </w:rPr>
        <w:t> </w:t>
      </w:r>
    </w:p>
    <w:p w14:paraId="066FDAF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 w:lineRule="atLeast"/>
        <w:ind w:left="0" w:right="0" w:firstLine="420"/>
        <w:jc w:val="both"/>
        <w:rPr>
          <w:rFonts w:hint="eastAsia" w:ascii="宋体" w:hAnsi="宋体" w:eastAsia="宋体" w:cs="宋体"/>
          <w:i w:val="0"/>
          <w:caps w:val="0"/>
          <w:color w:val="auto"/>
          <w:spacing w:val="0"/>
          <w:sz w:val="19"/>
          <w:szCs w:val="19"/>
        </w:rPr>
      </w:pPr>
      <w:r>
        <w:rPr>
          <w:rFonts w:hint="eastAsia" w:ascii="宋体" w:hAnsi="宋体" w:eastAsia="宋体" w:cs="宋体"/>
          <w:i w:val="0"/>
          <w:caps w:val="0"/>
          <w:color w:val="auto"/>
          <w:spacing w:val="0"/>
          <w:sz w:val="19"/>
          <w:szCs w:val="19"/>
          <w:shd w:val="clear" w:color="auto" w:fill="FFFFFF"/>
        </w:rPr>
        <w:t> </w:t>
      </w:r>
    </w:p>
    <w:p w14:paraId="49094D7D">
      <w:pPr>
        <w:rPr>
          <w:color w:val="auto"/>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国标仿宋">
    <w:panose1 w:val="02000500000000000000"/>
    <w:charset w:val="86"/>
    <w:family w:val="auto"/>
    <w:pitch w:val="default"/>
    <w:sig w:usb0="A00002BF" w:usb1="38C77CFA" w:usb2="00000016" w:usb3="00000000" w:csb0="00060007"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EBE0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CE1CDF">
                          <w:pPr>
                            <w:pStyle w:val="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5CE1CDF">
                    <w:pPr>
                      <w:pStyle w:val="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DE244E"/>
    <w:rsid w:val="05DABE3A"/>
    <w:rsid w:val="0DBF2488"/>
    <w:rsid w:val="0FB5EFC3"/>
    <w:rsid w:val="17DDCCB5"/>
    <w:rsid w:val="1BBE46D1"/>
    <w:rsid w:val="1BEF0570"/>
    <w:rsid w:val="1D461ED0"/>
    <w:rsid w:val="1E6F19F3"/>
    <w:rsid w:val="1F6B3150"/>
    <w:rsid w:val="1FF7858F"/>
    <w:rsid w:val="1FFB57E7"/>
    <w:rsid w:val="28EDE118"/>
    <w:rsid w:val="2B054EC1"/>
    <w:rsid w:val="2B393845"/>
    <w:rsid w:val="2BFF273D"/>
    <w:rsid w:val="2C7FC460"/>
    <w:rsid w:val="2ECF06E4"/>
    <w:rsid w:val="2FE3A82D"/>
    <w:rsid w:val="2FFA2B66"/>
    <w:rsid w:val="31FFE9CC"/>
    <w:rsid w:val="3373904C"/>
    <w:rsid w:val="358F36FC"/>
    <w:rsid w:val="35EF9A5D"/>
    <w:rsid w:val="366FE4D6"/>
    <w:rsid w:val="36D79C92"/>
    <w:rsid w:val="395F867D"/>
    <w:rsid w:val="39B79CC0"/>
    <w:rsid w:val="3B1EEBD5"/>
    <w:rsid w:val="3BDF32D7"/>
    <w:rsid w:val="3C27C34E"/>
    <w:rsid w:val="3DF3C335"/>
    <w:rsid w:val="3E7F67EF"/>
    <w:rsid w:val="3E9C58A0"/>
    <w:rsid w:val="3EFD79EC"/>
    <w:rsid w:val="3F7308BD"/>
    <w:rsid w:val="3FDF31FF"/>
    <w:rsid w:val="3FF458D0"/>
    <w:rsid w:val="3FFB5F05"/>
    <w:rsid w:val="45BB8AEF"/>
    <w:rsid w:val="4AFF9F7C"/>
    <w:rsid w:val="4BF78CB8"/>
    <w:rsid w:val="4BFF1422"/>
    <w:rsid w:val="4CBFC4EA"/>
    <w:rsid w:val="4DC5393B"/>
    <w:rsid w:val="4DFFE2EA"/>
    <w:rsid w:val="4EBDB16C"/>
    <w:rsid w:val="4FE47E8B"/>
    <w:rsid w:val="4FEFB521"/>
    <w:rsid w:val="4FF1C559"/>
    <w:rsid w:val="4FFFAAD6"/>
    <w:rsid w:val="54FF88FC"/>
    <w:rsid w:val="55FB1D15"/>
    <w:rsid w:val="57BFC3F6"/>
    <w:rsid w:val="57E5C298"/>
    <w:rsid w:val="57F56F13"/>
    <w:rsid w:val="5975C399"/>
    <w:rsid w:val="59FC3E0C"/>
    <w:rsid w:val="5B1EAEEF"/>
    <w:rsid w:val="5B9BBFF9"/>
    <w:rsid w:val="5BD25433"/>
    <w:rsid w:val="5BDB3FC3"/>
    <w:rsid w:val="5C7ECAC5"/>
    <w:rsid w:val="5C9B2333"/>
    <w:rsid w:val="5DF72C64"/>
    <w:rsid w:val="5E9A7B9A"/>
    <w:rsid w:val="5EBF5D0F"/>
    <w:rsid w:val="5EBF9DE9"/>
    <w:rsid w:val="5EDF57BB"/>
    <w:rsid w:val="5EFD41D0"/>
    <w:rsid w:val="5F75DB44"/>
    <w:rsid w:val="5FBD4BC6"/>
    <w:rsid w:val="5FDF1C87"/>
    <w:rsid w:val="5FDF8176"/>
    <w:rsid w:val="5FDFC1CC"/>
    <w:rsid w:val="5FDFEB45"/>
    <w:rsid w:val="5FEB5F1F"/>
    <w:rsid w:val="5FF6EAA5"/>
    <w:rsid w:val="5FFE1D0C"/>
    <w:rsid w:val="6164072D"/>
    <w:rsid w:val="642B5958"/>
    <w:rsid w:val="65C7ED75"/>
    <w:rsid w:val="65FF4908"/>
    <w:rsid w:val="67FA7203"/>
    <w:rsid w:val="69D9A199"/>
    <w:rsid w:val="6A66EF13"/>
    <w:rsid w:val="6AFEEF05"/>
    <w:rsid w:val="6B7F2378"/>
    <w:rsid w:val="6BDF64F0"/>
    <w:rsid w:val="6BEF1862"/>
    <w:rsid w:val="6D7F18C1"/>
    <w:rsid w:val="6E5B739F"/>
    <w:rsid w:val="6EBFA27A"/>
    <w:rsid w:val="6EFBA70C"/>
    <w:rsid w:val="6F3D5235"/>
    <w:rsid w:val="6F7D1D8D"/>
    <w:rsid w:val="6FB94535"/>
    <w:rsid w:val="6FBD801C"/>
    <w:rsid w:val="6FBF6C92"/>
    <w:rsid w:val="6FBF723F"/>
    <w:rsid w:val="6FF6B7D4"/>
    <w:rsid w:val="6FF705F0"/>
    <w:rsid w:val="6FFA9D02"/>
    <w:rsid w:val="6FFFFB57"/>
    <w:rsid w:val="71DCCB42"/>
    <w:rsid w:val="71DFEC24"/>
    <w:rsid w:val="71FF79C5"/>
    <w:rsid w:val="72EFABAD"/>
    <w:rsid w:val="72F6CAC4"/>
    <w:rsid w:val="731F6CAF"/>
    <w:rsid w:val="74CBCD9C"/>
    <w:rsid w:val="74D78266"/>
    <w:rsid w:val="752F5FEA"/>
    <w:rsid w:val="75AFE6FB"/>
    <w:rsid w:val="75FBB3CD"/>
    <w:rsid w:val="76FF00A3"/>
    <w:rsid w:val="776FFCFA"/>
    <w:rsid w:val="77BFD47D"/>
    <w:rsid w:val="77CD61EB"/>
    <w:rsid w:val="77DE5FA6"/>
    <w:rsid w:val="77DFF024"/>
    <w:rsid w:val="77FF9FFD"/>
    <w:rsid w:val="79FF6807"/>
    <w:rsid w:val="7AFE226E"/>
    <w:rsid w:val="7B070922"/>
    <w:rsid w:val="7B874F1B"/>
    <w:rsid w:val="7B8EBD4B"/>
    <w:rsid w:val="7B9BF970"/>
    <w:rsid w:val="7BBE8C97"/>
    <w:rsid w:val="7BBFF1A5"/>
    <w:rsid w:val="7BF88314"/>
    <w:rsid w:val="7BFA156E"/>
    <w:rsid w:val="7BFF6E5D"/>
    <w:rsid w:val="7BFFBE9C"/>
    <w:rsid w:val="7C7F6D3D"/>
    <w:rsid w:val="7CDDACCA"/>
    <w:rsid w:val="7DDFDD8B"/>
    <w:rsid w:val="7DEF08ED"/>
    <w:rsid w:val="7E5542DA"/>
    <w:rsid w:val="7E5D0A63"/>
    <w:rsid w:val="7E7F5242"/>
    <w:rsid w:val="7EDB404B"/>
    <w:rsid w:val="7EDE3BBD"/>
    <w:rsid w:val="7EFB3D53"/>
    <w:rsid w:val="7EFD4E78"/>
    <w:rsid w:val="7EFE0766"/>
    <w:rsid w:val="7EFF2D03"/>
    <w:rsid w:val="7EFF4F9C"/>
    <w:rsid w:val="7EFFDE81"/>
    <w:rsid w:val="7F3A103A"/>
    <w:rsid w:val="7F4F6405"/>
    <w:rsid w:val="7F5B6349"/>
    <w:rsid w:val="7F5FB233"/>
    <w:rsid w:val="7F6FE17D"/>
    <w:rsid w:val="7F774408"/>
    <w:rsid w:val="7F77E575"/>
    <w:rsid w:val="7F77E824"/>
    <w:rsid w:val="7F7ABFDF"/>
    <w:rsid w:val="7F7BF653"/>
    <w:rsid w:val="7F7D3F9E"/>
    <w:rsid w:val="7F7D7E12"/>
    <w:rsid w:val="7F8FD0D8"/>
    <w:rsid w:val="7FAB6959"/>
    <w:rsid w:val="7FBBDDC8"/>
    <w:rsid w:val="7FBECCB0"/>
    <w:rsid w:val="7FC4802F"/>
    <w:rsid w:val="7FC72FCC"/>
    <w:rsid w:val="7FCEF3F9"/>
    <w:rsid w:val="7FD79B46"/>
    <w:rsid w:val="7FDD3214"/>
    <w:rsid w:val="7FE627C7"/>
    <w:rsid w:val="7FE9FC1B"/>
    <w:rsid w:val="7FEF8CD0"/>
    <w:rsid w:val="7FEFD2A0"/>
    <w:rsid w:val="7FF2981B"/>
    <w:rsid w:val="7FF49064"/>
    <w:rsid w:val="7FF9B4F1"/>
    <w:rsid w:val="7FFD344C"/>
    <w:rsid w:val="7FFE14E0"/>
    <w:rsid w:val="7FFEC31F"/>
    <w:rsid w:val="7FFF14C4"/>
    <w:rsid w:val="7FFF6E61"/>
    <w:rsid w:val="86BBB2B0"/>
    <w:rsid w:val="87FF5E88"/>
    <w:rsid w:val="8EF57C42"/>
    <w:rsid w:val="93FF2C30"/>
    <w:rsid w:val="961F50E0"/>
    <w:rsid w:val="9A9FF2C6"/>
    <w:rsid w:val="9AEF132B"/>
    <w:rsid w:val="9EAF6663"/>
    <w:rsid w:val="9ED38A6F"/>
    <w:rsid w:val="9EFB3358"/>
    <w:rsid w:val="9FF17512"/>
    <w:rsid w:val="9FF76890"/>
    <w:rsid w:val="9FF7C91A"/>
    <w:rsid w:val="9FFF524F"/>
    <w:rsid w:val="A7FC1596"/>
    <w:rsid w:val="ABF595D2"/>
    <w:rsid w:val="ADEA96A8"/>
    <w:rsid w:val="AEB70ADD"/>
    <w:rsid w:val="AFBD532D"/>
    <w:rsid w:val="B3FF1529"/>
    <w:rsid w:val="B5BF3F93"/>
    <w:rsid w:val="B6FDF6DA"/>
    <w:rsid w:val="B7FF9B52"/>
    <w:rsid w:val="BA7EBD35"/>
    <w:rsid w:val="BBC9F4A3"/>
    <w:rsid w:val="BC7EA691"/>
    <w:rsid w:val="BD8F0583"/>
    <w:rsid w:val="BDBF59B3"/>
    <w:rsid w:val="BEDA1A31"/>
    <w:rsid w:val="BF7D63BA"/>
    <w:rsid w:val="BF7F8DB5"/>
    <w:rsid w:val="BF7FB494"/>
    <w:rsid w:val="BFBD1B79"/>
    <w:rsid w:val="BFBF1F7F"/>
    <w:rsid w:val="BFE8DAAB"/>
    <w:rsid w:val="BFEE1877"/>
    <w:rsid w:val="BFF22F99"/>
    <w:rsid w:val="BFFDE4B9"/>
    <w:rsid w:val="BFFF26CF"/>
    <w:rsid w:val="CB6E2BE0"/>
    <w:rsid w:val="CDEAA368"/>
    <w:rsid w:val="CDFFAB7B"/>
    <w:rsid w:val="CFF33B5E"/>
    <w:rsid w:val="D0FF0DFB"/>
    <w:rsid w:val="D5BF4394"/>
    <w:rsid w:val="D67D4C73"/>
    <w:rsid w:val="D6DB1ABF"/>
    <w:rsid w:val="D7337100"/>
    <w:rsid w:val="D7736C86"/>
    <w:rsid w:val="D7BAEC76"/>
    <w:rsid w:val="D7D352DA"/>
    <w:rsid w:val="D7DA17E8"/>
    <w:rsid w:val="D7FBDB64"/>
    <w:rsid w:val="DBFA7EED"/>
    <w:rsid w:val="DD574A00"/>
    <w:rsid w:val="DD7F19BF"/>
    <w:rsid w:val="DD96AB66"/>
    <w:rsid w:val="DDF6F63B"/>
    <w:rsid w:val="DDFF75A3"/>
    <w:rsid w:val="DF4B0161"/>
    <w:rsid w:val="DF6D4936"/>
    <w:rsid w:val="DF72B9CE"/>
    <w:rsid w:val="DF9E0539"/>
    <w:rsid w:val="DFF7E6F1"/>
    <w:rsid w:val="DFFB19BD"/>
    <w:rsid w:val="E39A2D36"/>
    <w:rsid w:val="E3AFF524"/>
    <w:rsid w:val="E57F4D01"/>
    <w:rsid w:val="E6FB3FF5"/>
    <w:rsid w:val="E78567E5"/>
    <w:rsid w:val="E7A96536"/>
    <w:rsid w:val="E7EB9A26"/>
    <w:rsid w:val="E7FFBB48"/>
    <w:rsid w:val="EA3FC0D4"/>
    <w:rsid w:val="EADF4A35"/>
    <w:rsid w:val="EAF56346"/>
    <w:rsid w:val="EB661868"/>
    <w:rsid w:val="ECDF8D0E"/>
    <w:rsid w:val="ED7BA776"/>
    <w:rsid w:val="EDDFAE93"/>
    <w:rsid w:val="EEEBBA54"/>
    <w:rsid w:val="EEF61E0F"/>
    <w:rsid w:val="EEFF5010"/>
    <w:rsid w:val="EF359119"/>
    <w:rsid w:val="EFB8892A"/>
    <w:rsid w:val="EFCBFFFC"/>
    <w:rsid w:val="EFDEA194"/>
    <w:rsid w:val="EFF243AD"/>
    <w:rsid w:val="EFFFAFB7"/>
    <w:rsid w:val="F2F10FA0"/>
    <w:rsid w:val="F35E65C0"/>
    <w:rsid w:val="F39AA63E"/>
    <w:rsid w:val="F5FF3C29"/>
    <w:rsid w:val="F7E13B96"/>
    <w:rsid w:val="F7F96681"/>
    <w:rsid w:val="F7F9FEF0"/>
    <w:rsid w:val="F7FA8D91"/>
    <w:rsid w:val="F7FB4B8B"/>
    <w:rsid w:val="F7FF4B3B"/>
    <w:rsid w:val="F7FFED69"/>
    <w:rsid w:val="F8DF328A"/>
    <w:rsid w:val="F8F9E4B4"/>
    <w:rsid w:val="F9B66A9B"/>
    <w:rsid w:val="F9FF649A"/>
    <w:rsid w:val="FAAE620C"/>
    <w:rsid w:val="FAF3004E"/>
    <w:rsid w:val="FAFDA31A"/>
    <w:rsid w:val="FAFFBA24"/>
    <w:rsid w:val="FB7D9889"/>
    <w:rsid w:val="FBEE0EC6"/>
    <w:rsid w:val="FCDF0A8D"/>
    <w:rsid w:val="FD193948"/>
    <w:rsid w:val="FD5FBFB8"/>
    <w:rsid w:val="FD6F9783"/>
    <w:rsid w:val="FDB88CDE"/>
    <w:rsid w:val="FDFE0EBC"/>
    <w:rsid w:val="FE356B83"/>
    <w:rsid w:val="FEB71A24"/>
    <w:rsid w:val="FEBB4D3C"/>
    <w:rsid w:val="FEBF8786"/>
    <w:rsid w:val="FEE907B1"/>
    <w:rsid w:val="FEF5114E"/>
    <w:rsid w:val="FEFDD927"/>
    <w:rsid w:val="FF2F75C0"/>
    <w:rsid w:val="FF5EB53D"/>
    <w:rsid w:val="FF5F15D9"/>
    <w:rsid w:val="FF5F2EAA"/>
    <w:rsid w:val="FF6925FE"/>
    <w:rsid w:val="FF6F23DE"/>
    <w:rsid w:val="FF6FA343"/>
    <w:rsid w:val="FF75C7B9"/>
    <w:rsid w:val="FF7EFDB8"/>
    <w:rsid w:val="FF96E268"/>
    <w:rsid w:val="FFAF9984"/>
    <w:rsid w:val="FFB596D7"/>
    <w:rsid w:val="FFBCF445"/>
    <w:rsid w:val="FFC70823"/>
    <w:rsid w:val="FFD7B84F"/>
    <w:rsid w:val="FFDD3B89"/>
    <w:rsid w:val="FFDE244E"/>
    <w:rsid w:val="FFDF8D09"/>
    <w:rsid w:val="FFE7F39B"/>
    <w:rsid w:val="FFF16EFB"/>
    <w:rsid w:val="FFFB48A4"/>
    <w:rsid w:val="FFFBEDB6"/>
    <w:rsid w:val="FFFD9696"/>
    <w:rsid w:val="FFFE7A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62</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2022-10-31T14:39:00Z</dcterms:created>
  <dc:creator>sugon</dc:creator>
  <cp:lastModifiedBy>sugon</cp:lastModifiedBy>
  <cp:lastPrinted>2026-05-26T14:53:45Z</cp:lastPrinted>
  <dcterms:modified xsi:type="dcterms:W3CDTF">2026-05-26T15:34:41Z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FE74625B2F4866CF36CCB069B15ADB16</vt:lpwstr>
  </property>
</Properties>
</file>